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B3" w:rsidRPr="003E1DB3" w:rsidRDefault="003E1DB3" w:rsidP="003E1DB3">
      <w:pPr>
        <w:tabs>
          <w:tab w:val="left" w:pos="39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E1DB3" w:rsidRDefault="003E1DB3" w:rsidP="003E1DB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66109" w:rsidRPr="003E1DB3">
        <w:rPr>
          <w:rFonts w:ascii="Times New Roman" w:hAnsi="Times New Roman" w:cs="Times New Roman"/>
          <w:sz w:val="28"/>
          <w:szCs w:val="28"/>
          <w:lang w:val="uk-UA"/>
        </w:rPr>
        <w:t xml:space="preserve">ро підсумки моніторингу розвитку компетентностей </w:t>
      </w:r>
    </w:p>
    <w:p w:rsidR="003E1DB3" w:rsidRDefault="00F66109" w:rsidP="003E1DB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1DB3">
        <w:rPr>
          <w:rFonts w:ascii="Times New Roman" w:hAnsi="Times New Roman" w:cs="Times New Roman"/>
          <w:sz w:val="28"/>
          <w:szCs w:val="28"/>
          <w:lang w:val="uk-UA"/>
        </w:rPr>
        <w:t>дітей раннього та дошкіл</w:t>
      </w:r>
      <w:r w:rsidR="003E1DB3">
        <w:rPr>
          <w:rFonts w:ascii="Times New Roman" w:hAnsi="Times New Roman" w:cs="Times New Roman"/>
          <w:sz w:val="28"/>
          <w:szCs w:val="28"/>
          <w:lang w:val="uk-UA"/>
        </w:rPr>
        <w:t>ьного віку згідно вимог Базового</w:t>
      </w:r>
    </w:p>
    <w:p w:rsidR="003E1DB3" w:rsidRDefault="00F66109" w:rsidP="003E1DB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1DB3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компоненту дош</w:t>
      </w:r>
      <w:r w:rsidR="003E1DB3">
        <w:rPr>
          <w:rFonts w:ascii="Times New Roman" w:hAnsi="Times New Roman" w:cs="Times New Roman"/>
          <w:sz w:val="28"/>
          <w:szCs w:val="28"/>
          <w:lang w:val="uk-UA"/>
        </w:rPr>
        <w:t>кільної освіти (нова редакція)</w:t>
      </w:r>
    </w:p>
    <w:p w:rsidR="00F66109" w:rsidRPr="003E1DB3" w:rsidRDefault="002910C1" w:rsidP="003E1DB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IІ півріччя 2023/2024</w:t>
      </w:r>
      <w:r w:rsidR="00F66109" w:rsidRPr="003E1DB3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</w:p>
    <w:p w:rsidR="00F66109" w:rsidRDefault="00F66109" w:rsidP="00A824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910C1" w:rsidRPr="00063A90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статті 22 Закону України «Про дошкільну освіту», Пос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танови Кабінету Міністрів від 10.22.2020 р. №54</w:t>
      </w: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порядку проведення моніторингу якості освіти», державних вимог до рівня розвиненості та вихованості дитини дошкільного віку, визначених Базовим компонентом дошкільної освіти, з метою моніторингу якості освітнього проце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 у закладі дошкільної освіти, з 06-10.05.2024 року </w:t>
      </w: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>був  проведений моніторинг 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звитку </w:t>
      </w:r>
      <w:r w:rsidRPr="00063A90">
        <w:rPr>
          <w:rFonts w:ascii="Times New Roman" w:hAnsi="Times New Roman"/>
          <w:sz w:val="28"/>
          <w:szCs w:val="28"/>
          <w:lang w:val="uk-UA"/>
        </w:rPr>
        <w:t>компетентностей дітей раннього та дошкільного віку згідно вимог Базового компонента дошкільної освіти</w:t>
      </w:r>
      <w:r w:rsidRPr="00063A9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Педагогічне вивчення</w:t>
      </w: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компетентностей дітей було проведено з вихованцями раннього, молодшого та середнього віку </w:t>
      </w:r>
      <w:r w:rsidRPr="00B147F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педагогічними працівниками у складі вихователів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Соломії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Асілової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Валентини Михайлової – група раннього віку №1; Ангеліни Гнатюк, Катерини Сліпчук – молодшої групи №2; Інни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Шидловської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Катерини Сліпчук – середньої інклюзивної групи №3; Галини Мельничук,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Катерини Сліпчук</w:t>
      </w:r>
      <w:r w:rsidRPr="00B14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різновікової інклюзивної групи №4. А</w:t>
      </w:r>
      <w:r w:rsidRPr="00B147F8">
        <w:rPr>
          <w:rFonts w:ascii="Times New Roman" w:hAnsi="Times New Roman" w:cs="Times New Roman"/>
          <w:sz w:val="28"/>
          <w:szCs w:val="28"/>
          <w:lang w:val="uk-UA"/>
        </w:rPr>
        <w:t xml:space="preserve"> також до моніторингу були залучені музичний керівник Катерина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Погонець</w:t>
      </w:r>
      <w:r w:rsidRPr="00B147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асистенти вихователів Тетяна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Анастасія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Яворська</w:t>
      </w:r>
      <w:proofErr w:type="spellEnd"/>
      <w:r w:rsidRPr="00B147F8">
        <w:rPr>
          <w:rFonts w:ascii="Times New Roman" w:hAnsi="Times New Roman" w:cs="Times New Roman"/>
          <w:sz w:val="28"/>
          <w:szCs w:val="28"/>
          <w:lang w:val="uk-UA"/>
        </w:rPr>
        <w:t xml:space="preserve"> та вихователь-методист </w:t>
      </w:r>
      <w:proofErr w:type="spellStart"/>
      <w:r w:rsidRPr="00B147F8">
        <w:rPr>
          <w:rFonts w:ascii="Times New Roman" w:hAnsi="Times New Roman" w:cs="Times New Roman"/>
          <w:sz w:val="28"/>
          <w:szCs w:val="28"/>
          <w:lang w:val="uk-UA"/>
        </w:rPr>
        <w:t>Гниліцька</w:t>
      </w:r>
      <w:proofErr w:type="spellEnd"/>
      <w:r w:rsidRPr="00B147F8">
        <w:rPr>
          <w:rFonts w:ascii="Times New Roman" w:hAnsi="Times New Roman" w:cs="Times New Roman"/>
          <w:sz w:val="28"/>
          <w:szCs w:val="28"/>
          <w:lang w:val="uk-UA"/>
        </w:rPr>
        <w:t xml:space="preserve"> Людмила, що дало можливість повноцінно вивчити особливості розвитку вихованців. </w:t>
      </w:r>
    </w:p>
    <w:p w:rsidR="002910C1" w:rsidRPr="00EF017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F0171">
        <w:rPr>
          <w:rFonts w:ascii="Times New Roman" w:hAnsi="Times New Roman" w:cs="Times New Roman"/>
          <w:sz w:val="28"/>
          <w:szCs w:val="28"/>
          <w:lang w:val="uk-UA"/>
        </w:rPr>
        <w:t>З метою проведення цілеспрямованого і повного педагогічного обстеження рівня компетенції відповідно до вимог Базового компонента дошкільної освіти, протягом зазначеного періоду педагоги оцінювали досягнення дітей кожної вікової групи за показниками (к</w:t>
      </w:r>
      <w:r>
        <w:rPr>
          <w:rFonts w:ascii="Times New Roman" w:hAnsi="Times New Roman" w:cs="Times New Roman"/>
          <w:sz w:val="28"/>
          <w:szCs w:val="28"/>
          <w:lang w:val="uk-UA"/>
        </w:rPr>
        <w:t>ритеріями) семи</w:t>
      </w:r>
      <w:r w:rsidRPr="00EF0171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напрямів («Особистість дитини», «Дитина в сенсорно-пізнавальному просторі», «Дитина в природному довкіллі», «Гра дитини», «Мовлення дитини», «Дитина у світі мистецтва»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F0171">
        <w:rPr>
          <w:rFonts w:ascii="Times New Roman" w:hAnsi="Times New Roman" w:cs="Times New Roman"/>
          <w:sz w:val="28"/>
          <w:szCs w:val="28"/>
          <w:lang w:val="uk-UA"/>
        </w:rPr>
        <w:t>«Дитина в соціумі»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910C1" w:rsidRPr="00A8248B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оніторинг був проведений 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методичним посібником «Моніторинг досягнень дітей дошкільного віку згідно з базовим компонентом дошкільної освіти» за загальною редакцією Н.М. Шаповал, О.М. Кулик, Т.В. Киричук – Тернопіль: Мандрівець, 2021. </w:t>
      </w:r>
    </w:p>
    <w:p w:rsidR="002910C1" w:rsidRPr="00A8248B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моніторингового обстеження кожної дитини було внесено у зведені картку результатів моніторингу сформованості основних </w:t>
      </w:r>
      <w:proofErr w:type="spellStart"/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відповідної вікової групи.</w:t>
      </w:r>
    </w:p>
    <w:p w:rsidR="002910C1" w:rsidRPr="00234D52" w:rsidRDefault="002910C1" w:rsidP="002910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Педагоги були забезпечені інструментарієм для здійснення моніторингу, матеріалами щодо фіксування результатів (таблицями, картками) та матеріалами проведення педагогічної діагностики.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Вихователь-методист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Гниліцька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4D52">
        <w:rPr>
          <w:rFonts w:ascii="Times New Roman" w:hAnsi="Times New Roman" w:cs="Times New Roman"/>
          <w:sz w:val="28"/>
          <w:szCs w:val="28"/>
          <w:lang w:val="uk-UA"/>
        </w:rPr>
        <w:t>проаналізувала результати роботи вихователів з вивчення рівня розвитку дітей кожної вікової групи, засвоєння дитиною знань, умінь у різних видах діяльності, п</w:t>
      </w:r>
      <w:r>
        <w:rPr>
          <w:rFonts w:ascii="Times New Roman" w:hAnsi="Times New Roman" w:cs="Times New Roman"/>
          <w:sz w:val="28"/>
          <w:szCs w:val="28"/>
          <w:lang w:val="uk-UA"/>
        </w:rPr>
        <w:t>равил та особистісного розвитку та узагальнила подані матеріали склавши У</w:t>
      </w:r>
      <w:r w:rsidRPr="00234D52">
        <w:rPr>
          <w:rFonts w:ascii="Times New Roman" w:hAnsi="Times New Roman" w:cs="Times New Roman"/>
          <w:sz w:val="28"/>
          <w:szCs w:val="28"/>
          <w:lang w:val="uk-UA"/>
        </w:rPr>
        <w:t xml:space="preserve">загальнену картку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показників моніторингу розвитку компетентностей дошкільників ЗДО №1 «Теремок» </w:t>
      </w:r>
      <w:r w:rsidRPr="00234D52">
        <w:rPr>
          <w:rFonts w:ascii="Times New Roman" w:hAnsi="Times New Roman" w:cs="Times New Roman"/>
          <w:b/>
          <w:i/>
          <w:sz w:val="28"/>
          <w:szCs w:val="28"/>
          <w:lang w:val="uk-UA"/>
        </w:rPr>
        <w:t>(Додаток1)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10C1" w:rsidRDefault="002910C1" w:rsidP="00291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Моніторингом було охоплено 17</w:t>
      </w:r>
      <w:r w:rsidRPr="00391BF1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раннього віку (група раннього віку №1) та 39 дітей молодшого та середнього дошкільного віку (молодша група №2, середня група №3, різновікова група №4). </w:t>
      </w:r>
    </w:p>
    <w:p w:rsidR="002910C1" w:rsidRDefault="002910C1" w:rsidP="00291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0C1" w:rsidRPr="002658F6" w:rsidRDefault="002910C1" w:rsidP="002910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307724" cy="2817757"/>
            <wp:effectExtent l="19050" t="0" r="26276" b="1643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10C1" w:rsidRPr="004048EE" w:rsidRDefault="002910C1" w:rsidP="002910C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0C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даних моніторингових досліджень можна зробити висновок, що здебільшого дошкільнята мають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високий, </w:t>
      </w:r>
      <w:r w:rsidRPr="00C10C86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середній та достатній рівень розвитку компетентностей.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порівнянні з моніторингом за І півріччя 2023/2024 навчального року варто відмітити позитивну динаміку розвитку компетентностей, а саме: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освітній напрям «Особистість дитини»: 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півріччя – 1 – високий рівень, 19 - достатній рівень, 28 – середній рівень, 2 – початковий рівень; </w:t>
      </w:r>
    </w:p>
    <w:p w:rsidR="002910C1" w:rsidRPr="0061384A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84A">
        <w:rPr>
          <w:rFonts w:ascii="Times New Roman" w:eastAsia="Times New Roman" w:hAnsi="Times New Roman" w:cs="Times New Roman"/>
          <w:sz w:val="28"/>
          <w:szCs w:val="28"/>
          <w:lang w:val="uk-UA"/>
        </w:rPr>
        <w:t>ІІ півріччя – 6 – високий рівень, 30 – достатній рівень, 15 – середній рівень, 5 – початковий рівень;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світній напрям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«Дитина в сенсорно-пізнавальному просторі»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півріччя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4 – високий рівень, 13 – достатній рівень, 26 – середній рівень, 7 – початковий рівень;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910C1" w:rsidRPr="006200D8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00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ІІ півріччя – 4 – високий рівень, 25 – достатній рівень, 22 – середній рівень, 9 – початковий рівень;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світній напрям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«Дитина в природному довкіллі»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півріччя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2 – високий рівень,22 – достатній рівень, 21 – середній рівень, 5 – початковий рівень;</w:t>
      </w:r>
    </w:p>
    <w:p w:rsidR="002910C1" w:rsidRPr="006200D8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00D8">
        <w:rPr>
          <w:rFonts w:ascii="Times New Roman" w:eastAsia="Times New Roman" w:hAnsi="Times New Roman" w:cs="Times New Roman"/>
          <w:sz w:val="28"/>
          <w:szCs w:val="28"/>
          <w:lang w:val="uk-UA"/>
        </w:rPr>
        <w:t>ІІ півріччя – 3 – високий рівень, 32 – достатній рівень, 17 – середній рівень, 4 – початковий рівень;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світній напрям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«Гра дитини»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півріччя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1 – високий рівень, 16 – достатній рівень, 28 – середній рівень, 5 – початковий рівень;</w:t>
      </w:r>
    </w:p>
    <w:p w:rsidR="002910C1" w:rsidRPr="006200D8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00D8">
        <w:rPr>
          <w:rFonts w:ascii="Times New Roman" w:eastAsia="Times New Roman" w:hAnsi="Times New Roman" w:cs="Times New Roman"/>
          <w:sz w:val="28"/>
          <w:szCs w:val="28"/>
          <w:lang w:val="uk-UA"/>
        </w:rPr>
        <w:t>ІІ півріччя – 9 – високий рівень, 32 – достатній рівень,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00D8">
        <w:rPr>
          <w:rFonts w:ascii="Times New Roman" w:eastAsia="Times New Roman" w:hAnsi="Times New Roman" w:cs="Times New Roman"/>
          <w:sz w:val="28"/>
          <w:szCs w:val="28"/>
          <w:lang w:val="uk-UA"/>
        </w:rPr>
        <w:t>11 – середній рівень, 4 – початковий рівень;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світній напрям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«Дитина в соціумі»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півріччя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5 – високий рівень, 12 – достатній рівень, 29 – середній рівень, 4 – початковий рівень;</w:t>
      </w:r>
    </w:p>
    <w:p w:rsidR="002910C1" w:rsidRPr="006200D8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00D8">
        <w:rPr>
          <w:rFonts w:ascii="Times New Roman" w:eastAsia="Times New Roman" w:hAnsi="Times New Roman" w:cs="Times New Roman"/>
          <w:sz w:val="28"/>
          <w:szCs w:val="28"/>
          <w:lang w:val="uk-UA"/>
        </w:rPr>
        <w:t>ІІ півріччя – 9 – високий рівень, 18 – достатній рівень, 23 – середній рівень, 7 – початковий рівень;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світній напрям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«Мовлення дитини»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півріччя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1 – високий рівень, 16 – достатній рівень, 27 – середній рівень, 6 – початковий рівень;</w:t>
      </w:r>
    </w:p>
    <w:p w:rsidR="002910C1" w:rsidRPr="006200D8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00D8">
        <w:rPr>
          <w:rFonts w:ascii="Times New Roman" w:eastAsia="Times New Roman" w:hAnsi="Times New Roman" w:cs="Times New Roman"/>
          <w:sz w:val="28"/>
          <w:szCs w:val="28"/>
          <w:lang w:val="uk-UA"/>
        </w:rPr>
        <w:t>ІІ півріччя – 4 – високий рівень, 22 – достатній рівень, 23 – середній рівень, 7 – початковий рівень;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</w:t>
      </w: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>світній напрям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«Дитина у світі мистецтва»</w:t>
      </w:r>
      <w:r>
        <w:rPr>
          <w:lang w:val="uk-UA"/>
        </w:rPr>
        <w:t xml:space="preserve">: </w:t>
      </w:r>
    </w:p>
    <w:p w:rsidR="002910C1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півріччя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1 – високий рівень, 20 – достатній рівень, 23 – середній рівень, 6 – початковий рівень;</w:t>
      </w:r>
    </w:p>
    <w:p w:rsidR="002910C1" w:rsidRPr="006200D8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00D8">
        <w:rPr>
          <w:rFonts w:ascii="Times New Roman" w:eastAsia="Times New Roman" w:hAnsi="Times New Roman" w:cs="Times New Roman"/>
          <w:sz w:val="28"/>
          <w:szCs w:val="28"/>
          <w:lang w:val="uk-UA"/>
        </w:rPr>
        <w:t>ІІ півріччя – 5 – високий рівень, 27 – достатній рівень, 18 – середній рівень, 6 – початковий рівень.</w:t>
      </w:r>
    </w:p>
    <w:p w:rsidR="002910C1" w:rsidRDefault="002910C1" w:rsidP="0036607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Однак поряд із позитивною динамікою спостерігається певний відсоток дітей із початковим рівнем розвитку із окремих освітніх напрямів</w:t>
      </w:r>
    </w:p>
    <w:p w:rsidR="002910C1" w:rsidRPr="00A8248B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Підбиваючи підсумки моніторингу можна відзначити </w:t>
      </w: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результативну роботу педагогів, які використовували ефективні методи та прийоми,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дало </w:t>
      </w: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можливість дітям активно мислити, висловлювати свою думку, займатися пошуковою діяльністю, проявляти творчість, тобто оволодівати технологією життєтворчості.</w:t>
      </w:r>
    </w:p>
    <w:p w:rsidR="002910C1" w:rsidRPr="00A8248B" w:rsidRDefault="002910C1" w:rsidP="002910C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якості освітнього процесу, рівня сформованості компетентностей дітей дошкільного віку за програмою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Українське дошкілля</w:t>
      </w:r>
      <w:r w:rsidRPr="00A8248B">
        <w:rPr>
          <w:rFonts w:ascii="Times New Roman" w:eastAsia="Times New Roman" w:hAnsi="Times New Roman" w:cs="Times New Roman"/>
          <w:sz w:val="28"/>
          <w:szCs w:val="28"/>
          <w:lang w:val="uk-UA"/>
        </w:rPr>
        <w:t>», виконання Базового компонента дошкільної освіти за підсумками навчального року  дає підстави вважати, що діти засвоїли програму, робота була вагомою та  результативною.</w:t>
      </w:r>
    </w:p>
    <w:p w:rsidR="002910C1" w:rsidRDefault="002910C1" w:rsidP="002910C1">
      <w:pPr>
        <w:jc w:val="right"/>
        <w:rPr>
          <w:b/>
          <w:sz w:val="24"/>
          <w:szCs w:val="24"/>
          <w:lang w:val="uk-UA"/>
        </w:rPr>
        <w:sectPr w:rsidR="002910C1" w:rsidSect="00C10C8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048EE" w:rsidRDefault="004048EE" w:rsidP="00F172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8E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260E41" w:rsidRDefault="001D6588" w:rsidP="001D65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наказу ЗДО№1 </w:t>
      </w:r>
    </w:p>
    <w:p w:rsidR="001D6588" w:rsidRDefault="002910C1" w:rsidP="001D65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від16.05.2024</w:t>
      </w:r>
      <w:r w:rsidR="00E532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№50</w:t>
      </w:r>
    </w:p>
    <w:p w:rsidR="002910C1" w:rsidRPr="004048EE" w:rsidRDefault="002910C1" w:rsidP="0029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8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Узагальнені показники моніторингу розвитку компетентностей дошкільників ЗДО №1 «Теремок» </w:t>
      </w:r>
    </w:p>
    <w:p w:rsidR="002910C1" w:rsidRPr="004048EE" w:rsidRDefault="002910C1" w:rsidP="0029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8EE">
        <w:rPr>
          <w:rFonts w:ascii="Times New Roman" w:hAnsi="Times New Roman" w:cs="Times New Roman"/>
          <w:b/>
          <w:sz w:val="24"/>
          <w:szCs w:val="24"/>
          <w:lang w:val="uk-UA"/>
        </w:rPr>
        <w:t>за Базовим компонентом дошкільної освіти (нова редакція),</w:t>
      </w:r>
    </w:p>
    <w:p w:rsidR="002910C1" w:rsidRPr="004048EE" w:rsidRDefault="002910C1" w:rsidP="0029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8EE">
        <w:rPr>
          <w:rFonts w:ascii="Times New Roman" w:hAnsi="Times New Roman" w:cs="Times New Roman"/>
          <w:b/>
          <w:sz w:val="24"/>
          <w:szCs w:val="24"/>
          <w:lang w:val="uk-UA"/>
        </w:rPr>
        <w:t>за 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 півріччя 2023/2024</w:t>
      </w:r>
      <w:r w:rsidRPr="004048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 р.</w:t>
      </w:r>
    </w:p>
    <w:tbl>
      <w:tblPr>
        <w:tblStyle w:val="a5"/>
        <w:tblW w:w="0" w:type="auto"/>
        <w:tblLook w:val="04A0"/>
      </w:tblPr>
      <w:tblGrid>
        <w:gridCol w:w="2093"/>
        <w:gridCol w:w="1677"/>
        <w:gridCol w:w="1631"/>
        <w:gridCol w:w="1829"/>
        <w:gridCol w:w="1636"/>
        <w:gridCol w:w="1403"/>
        <w:gridCol w:w="1414"/>
        <w:gridCol w:w="1548"/>
        <w:gridCol w:w="1555"/>
      </w:tblGrid>
      <w:tr w:rsidR="002910C1" w:rsidRPr="004048EE" w:rsidTr="008B00D6">
        <w:tc>
          <w:tcPr>
            <w:tcW w:w="2093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Групи</w:t>
            </w:r>
          </w:p>
        </w:tc>
        <w:tc>
          <w:tcPr>
            <w:tcW w:w="1677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Рівні засвоєння</w:t>
            </w:r>
          </w:p>
        </w:tc>
        <w:tc>
          <w:tcPr>
            <w:tcW w:w="1631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Особистість дитини</w:t>
            </w:r>
          </w:p>
        </w:tc>
        <w:tc>
          <w:tcPr>
            <w:tcW w:w="1829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Дитина в сенсорно-пізнавальному просторі</w:t>
            </w:r>
          </w:p>
        </w:tc>
        <w:tc>
          <w:tcPr>
            <w:tcW w:w="1636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Дитина в природному довкіллі</w:t>
            </w:r>
          </w:p>
        </w:tc>
        <w:tc>
          <w:tcPr>
            <w:tcW w:w="1403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Гра дитини</w:t>
            </w:r>
          </w:p>
        </w:tc>
        <w:tc>
          <w:tcPr>
            <w:tcW w:w="1414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Дитина в соціумі</w:t>
            </w:r>
          </w:p>
        </w:tc>
        <w:tc>
          <w:tcPr>
            <w:tcW w:w="1548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Мовлення дитини</w:t>
            </w:r>
          </w:p>
        </w:tc>
        <w:tc>
          <w:tcPr>
            <w:tcW w:w="1555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Дитина у світі мистецтва</w:t>
            </w:r>
          </w:p>
        </w:tc>
      </w:tr>
      <w:tr w:rsidR="002910C1" w:rsidRPr="004048EE" w:rsidTr="008B00D6">
        <w:trPr>
          <w:trHeight w:val="232"/>
        </w:trPr>
        <w:tc>
          <w:tcPr>
            <w:tcW w:w="2093" w:type="dxa"/>
            <w:vMerge w:val="restart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Група раннього віку №1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0C1" w:rsidRPr="004048EE" w:rsidTr="008B00D6">
        <w:trPr>
          <w:trHeight w:val="165"/>
        </w:trPr>
        <w:tc>
          <w:tcPr>
            <w:tcW w:w="2093" w:type="dxa"/>
            <w:vMerge/>
          </w:tcPr>
          <w:p w:rsidR="002910C1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Достатній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10C1" w:rsidRPr="004048EE" w:rsidTr="008B00D6">
        <w:trPr>
          <w:trHeight w:val="127"/>
        </w:trPr>
        <w:tc>
          <w:tcPr>
            <w:tcW w:w="2093" w:type="dxa"/>
            <w:vMerge/>
          </w:tcPr>
          <w:p w:rsidR="002910C1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Середній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10C1" w:rsidRPr="004048EE" w:rsidTr="008B00D6">
        <w:trPr>
          <w:trHeight w:val="132"/>
        </w:trPr>
        <w:tc>
          <w:tcPr>
            <w:tcW w:w="2093" w:type="dxa"/>
            <w:vMerge/>
          </w:tcPr>
          <w:p w:rsidR="002910C1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Початковий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10C1" w:rsidRPr="004048EE" w:rsidTr="008B00D6">
        <w:trPr>
          <w:trHeight w:val="320"/>
        </w:trPr>
        <w:tc>
          <w:tcPr>
            <w:tcW w:w="2093" w:type="dxa"/>
            <w:vMerge w:val="restart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Молодша група №2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0C1" w:rsidRPr="004048EE" w:rsidTr="008B00D6">
        <w:trPr>
          <w:trHeight w:val="279"/>
        </w:trPr>
        <w:tc>
          <w:tcPr>
            <w:tcW w:w="2093" w:type="dxa"/>
            <w:vMerge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Достатній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10C1" w:rsidRPr="004048EE" w:rsidTr="008B00D6">
        <w:trPr>
          <w:trHeight w:val="213"/>
        </w:trPr>
        <w:tc>
          <w:tcPr>
            <w:tcW w:w="2093" w:type="dxa"/>
            <w:vMerge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Середній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0C1" w:rsidRPr="004048EE" w:rsidTr="008B00D6">
        <w:trPr>
          <w:trHeight w:val="275"/>
        </w:trPr>
        <w:tc>
          <w:tcPr>
            <w:tcW w:w="2093" w:type="dxa"/>
            <w:vMerge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Початковий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0C1" w:rsidRPr="004048EE" w:rsidTr="008B00D6">
        <w:trPr>
          <w:trHeight w:val="265"/>
        </w:trPr>
        <w:tc>
          <w:tcPr>
            <w:tcW w:w="2093" w:type="dxa"/>
            <w:vMerge w:val="restart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Середня</w:t>
            </w: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 xml:space="preserve"> група №3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10C1" w:rsidRPr="004048EE" w:rsidTr="008B00D6">
        <w:trPr>
          <w:trHeight w:val="269"/>
        </w:trPr>
        <w:tc>
          <w:tcPr>
            <w:tcW w:w="2093" w:type="dxa"/>
            <w:vMerge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Достатній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910C1" w:rsidRPr="004048EE" w:rsidTr="008B00D6">
        <w:trPr>
          <w:trHeight w:val="273"/>
        </w:trPr>
        <w:tc>
          <w:tcPr>
            <w:tcW w:w="2093" w:type="dxa"/>
            <w:vMerge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Середній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10C1" w:rsidRPr="00520BAC" w:rsidTr="008B00D6">
        <w:trPr>
          <w:trHeight w:val="261"/>
        </w:trPr>
        <w:tc>
          <w:tcPr>
            <w:tcW w:w="2093" w:type="dxa"/>
            <w:vMerge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Початковий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0C1" w:rsidRPr="004048EE" w:rsidTr="008B00D6">
        <w:trPr>
          <w:trHeight w:val="266"/>
        </w:trPr>
        <w:tc>
          <w:tcPr>
            <w:tcW w:w="2093" w:type="dxa"/>
            <w:vMerge w:val="restart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Різновікова</w:t>
            </w: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 xml:space="preserve"> група №4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0C1" w:rsidRPr="004048EE" w:rsidTr="008B00D6">
        <w:trPr>
          <w:trHeight w:val="320"/>
        </w:trPr>
        <w:tc>
          <w:tcPr>
            <w:tcW w:w="2093" w:type="dxa"/>
            <w:vMerge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Достатній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0C1" w:rsidRPr="004048EE" w:rsidTr="008B00D6">
        <w:trPr>
          <w:trHeight w:val="249"/>
        </w:trPr>
        <w:tc>
          <w:tcPr>
            <w:tcW w:w="2093" w:type="dxa"/>
            <w:vMerge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Середній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10C1" w:rsidRPr="004048EE" w:rsidTr="008B00D6">
        <w:trPr>
          <w:trHeight w:val="231"/>
        </w:trPr>
        <w:tc>
          <w:tcPr>
            <w:tcW w:w="2093" w:type="dxa"/>
            <w:vMerge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2910C1" w:rsidRPr="003A61E3" w:rsidRDefault="002910C1" w:rsidP="008B00D6">
            <w:pPr>
              <w:rPr>
                <w:rFonts w:ascii="Times New Roman" w:hAnsi="Times New Roman"/>
                <w:sz w:val="24"/>
                <w:szCs w:val="24"/>
              </w:rPr>
            </w:pPr>
            <w:r w:rsidRPr="003A61E3">
              <w:rPr>
                <w:rFonts w:ascii="Times New Roman" w:hAnsi="Times New Roman"/>
                <w:sz w:val="24"/>
                <w:szCs w:val="24"/>
              </w:rPr>
              <w:t>Початковий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2910C1" w:rsidRPr="00554700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0C1" w:rsidRPr="004048EE" w:rsidTr="008B00D6">
        <w:trPr>
          <w:trHeight w:val="249"/>
        </w:trPr>
        <w:tc>
          <w:tcPr>
            <w:tcW w:w="2093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>Узагальнений показник</w:t>
            </w:r>
          </w:p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t xml:space="preserve">В – </w:t>
            </w:r>
            <w:r w:rsidRPr="004048EE">
              <w:rPr>
                <w:rFonts w:ascii="Times New Roman" w:hAnsi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2910C1" w:rsidRPr="004048EE" w:rsidTr="008B00D6">
        <w:trPr>
          <w:trHeight w:val="249"/>
        </w:trPr>
        <w:tc>
          <w:tcPr>
            <w:tcW w:w="2093" w:type="dxa"/>
          </w:tcPr>
          <w:p w:rsidR="002910C1" w:rsidRPr="004048EE" w:rsidRDefault="002910C1" w:rsidP="008B0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8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 – </w:t>
            </w:r>
            <w:r w:rsidRPr="004048EE">
              <w:rPr>
                <w:rFonts w:ascii="Times New Roman" w:hAnsi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910C1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910C1" w:rsidRPr="004048EE" w:rsidRDefault="002910C1" w:rsidP="008B0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</w:tbl>
    <w:p w:rsidR="002910C1" w:rsidRPr="004048EE" w:rsidRDefault="002910C1" w:rsidP="001D65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910C1" w:rsidRPr="004048EE" w:rsidSect="004048EE">
      <w:headerReference w:type="defaul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E0" w:rsidRDefault="003D3AE0" w:rsidP="00C10C86">
      <w:pPr>
        <w:spacing w:after="0" w:line="240" w:lineRule="auto"/>
      </w:pPr>
      <w:r>
        <w:separator/>
      </w:r>
    </w:p>
  </w:endnote>
  <w:endnote w:type="continuationSeparator" w:id="1">
    <w:p w:rsidR="003D3AE0" w:rsidRDefault="003D3AE0" w:rsidP="00C1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E0" w:rsidRDefault="003D3AE0" w:rsidP="00C10C86">
      <w:pPr>
        <w:spacing w:after="0" w:line="240" w:lineRule="auto"/>
      </w:pPr>
      <w:r>
        <w:separator/>
      </w:r>
    </w:p>
  </w:footnote>
  <w:footnote w:type="continuationSeparator" w:id="1">
    <w:p w:rsidR="003D3AE0" w:rsidRDefault="003D3AE0" w:rsidP="00C1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1825"/>
      <w:docPartObj>
        <w:docPartGallery w:val="Page Numbers (Top of Page)"/>
        <w:docPartUnique/>
      </w:docPartObj>
    </w:sdtPr>
    <w:sdtContent>
      <w:p w:rsidR="002910C1" w:rsidRDefault="004B2555">
        <w:pPr>
          <w:pStyle w:val="a8"/>
          <w:jc w:val="center"/>
        </w:pPr>
        <w:fldSimple w:instr="PAGE   \* MERGEFORMAT">
          <w:r w:rsidR="00E532D8">
            <w:rPr>
              <w:noProof/>
            </w:rPr>
            <w:t>3</w:t>
          </w:r>
        </w:fldSimple>
      </w:p>
    </w:sdtContent>
  </w:sdt>
  <w:p w:rsidR="002910C1" w:rsidRDefault="002910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29918"/>
      <w:docPartObj>
        <w:docPartGallery w:val="Page Numbers (Top of Page)"/>
        <w:docPartUnique/>
      </w:docPartObj>
    </w:sdtPr>
    <w:sdtContent>
      <w:p w:rsidR="00C10C86" w:rsidRDefault="004B2555">
        <w:pPr>
          <w:pStyle w:val="a8"/>
          <w:jc w:val="center"/>
        </w:pPr>
        <w:r>
          <w:fldChar w:fldCharType="begin"/>
        </w:r>
        <w:r w:rsidR="00C10C86">
          <w:instrText>PAGE   \* MERGEFORMAT</w:instrText>
        </w:r>
        <w:r>
          <w:fldChar w:fldCharType="separate"/>
        </w:r>
        <w:r w:rsidR="00E532D8">
          <w:rPr>
            <w:noProof/>
          </w:rPr>
          <w:t>4</w:t>
        </w:r>
        <w:r>
          <w:fldChar w:fldCharType="end"/>
        </w:r>
      </w:p>
    </w:sdtContent>
  </w:sdt>
  <w:p w:rsidR="00C10C86" w:rsidRDefault="00C10C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BE1"/>
    <w:multiLevelType w:val="multilevel"/>
    <w:tmpl w:val="B2063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A4500"/>
    <w:multiLevelType w:val="multilevel"/>
    <w:tmpl w:val="C8CA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0EEA"/>
    <w:multiLevelType w:val="multilevel"/>
    <w:tmpl w:val="970E8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220B4"/>
    <w:multiLevelType w:val="multilevel"/>
    <w:tmpl w:val="8634E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86AD4"/>
    <w:multiLevelType w:val="multilevel"/>
    <w:tmpl w:val="8634E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9CC"/>
    <w:rsid w:val="00002550"/>
    <w:rsid w:val="00003C49"/>
    <w:rsid w:val="0006239E"/>
    <w:rsid w:val="00074C03"/>
    <w:rsid w:val="00085CD3"/>
    <w:rsid w:val="00091A08"/>
    <w:rsid w:val="00114124"/>
    <w:rsid w:val="001320CF"/>
    <w:rsid w:val="001368D5"/>
    <w:rsid w:val="00154906"/>
    <w:rsid w:val="00172B51"/>
    <w:rsid w:val="001B5EA0"/>
    <w:rsid w:val="001D6588"/>
    <w:rsid w:val="001E3EDD"/>
    <w:rsid w:val="00225994"/>
    <w:rsid w:val="00234D52"/>
    <w:rsid w:val="00247BD3"/>
    <w:rsid w:val="00260E41"/>
    <w:rsid w:val="002910C1"/>
    <w:rsid w:val="002C1960"/>
    <w:rsid w:val="00301FFC"/>
    <w:rsid w:val="0031352F"/>
    <w:rsid w:val="00327550"/>
    <w:rsid w:val="00341144"/>
    <w:rsid w:val="00357AA5"/>
    <w:rsid w:val="00360356"/>
    <w:rsid w:val="00366070"/>
    <w:rsid w:val="003A61E3"/>
    <w:rsid w:val="003B34DD"/>
    <w:rsid w:val="003B7B39"/>
    <w:rsid w:val="003D3AE0"/>
    <w:rsid w:val="003E1DB3"/>
    <w:rsid w:val="004048EE"/>
    <w:rsid w:val="00474211"/>
    <w:rsid w:val="004B2555"/>
    <w:rsid w:val="004E0EAE"/>
    <w:rsid w:val="004E2EE6"/>
    <w:rsid w:val="005211E0"/>
    <w:rsid w:val="00591380"/>
    <w:rsid w:val="006A63DD"/>
    <w:rsid w:val="006D7A72"/>
    <w:rsid w:val="00741906"/>
    <w:rsid w:val="0079019D"/>
    <w:rsid w:val="007F0185"/>
    <w:rsid w:val="00864A86"/>
    <w:rsid w:val="008C35A8"/>
    <w:rsid w:val="008F01EF"/>
    <w:rsid w:val="00975B71"/>
    <w:rsid w:val="009D73C3"/>
    <w:rsid w:val="00A0388B"/>
    <w:rsid w:val="00A1241C"/>
    <w:rsid w:val="00A424C6"/>
    <w:rsid w:val="00A8248B"/>
    <w:rsid w:val="00AF57A6"/>
    <w:rsid w:val="00B069EC"/>
    <w:rsid w:val="00B147F8"/>
    <w:rsid w:val="00B16869"/>
    <w:rsid w:val="00B1775A"/>
    <w:rsid w:val="00B23C44"/>
    <w:rsid w:val="00B54919"/>
    <w:rsid w:val="00B668ED"/>
    <w:rsid w:val="00B832CF"/>
    <w:rsid w:val="00BA676B"/>
    <w:rsid w:val="00BB50D8"/>
    <w:rsid w:val="00BE2E9D"/>
    <w:rsid w:val="00BF41E1"/>
    <w:rsid w:val="00C10C86"/>
    <w:rsid w:val="00C238F6"/>
    <w:rsid w:val="00C519CC"/>
    <w:rsid w:val="00CE1296"/>
    <w:rsid w:val="00CE60A4"/>
    <w:rsid w:val="00D01A3C"/>
    <w:rsid w:val="00D15D64"/>
    <w:rsid w:val="00D27B70"/>
    <w:rsid w:val="00D301DF"/>
    <w:rsid w:val="00DB1E93"/>
    <w:rsid w:val="00DC4CC9"/>
    <w:rsid w:val="00DE6CD8"/>
    <w:rsid w:val="00E179DE"/>
    <w:rsid w:val="00E40E1C"/>
    <w:rsid w:val="00E532D8"/>
    <w:rsid w:val="00E63F99"/>
    <w:rsid w:val="00E95212"/>
    <w:rsid w:val="00EF0171"/>
    <w:rsid w:val="00F17283"/>
    <w:rsid w:val="00F66109"/>
    <w:rsid w:val="00F867BD"/>
    <w:rsid w:val="00FB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9CC"/>
    <w:rPr>
      <w:b/>
      <w:bCs/>
    </w:rPr>
  </w:style>
  <w:style w:type="table" w:styleId="a5">
    <w:name w:val="Table Grid"/>
    <w:basedOn w:val="a1"/>
    <w:uiPriority w:val="99"/>
    <w:rsid w:val="004048EE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E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C86"/>
  </w:style>
  <w:style w:type="paragraph" w:styleId="aa">
    <w:name w:val="footer"/>
    <w:basedOn w:val="a"/>
    <w:link w:val="ab"/>
    <w:uiPriority w:val="99"/>
    <w:unhideWhenUsed/>
    <w:rsid w:val="00C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C86"/>
  </w:style>
  <w:style w:type="paragraph" w:styleId="ac">
    <w:name w:val="Body Text"/>
    <w:basedOn w:val="a"/>
    <w:link w:val="ad"/>
    <w:unhideWhenUsed/>
    <w:rsid w:val="006D7A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6D7A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 - високий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сенсорно-пізнавальному просторі</c:v>
                </c:pt>
                <c:pt idx="2">
                  <c:v>Дитина в природному довкіллі</c:v>
                </c:pt>
                <c:pt idx="3">
                  <c:v>Гра дитини</c:v>
                </c:pt>
                <c:pt idx="4">
                  <c:v>Дитина в соціумі</c:v>
                </c:pt>
                <c:pt idx="5">
                  <c:v>Мовлення дитини</c:v>
                </c:pt>
                <c:pt idx="6">
                  <c:v>Дитина у світі мистецтва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3</c:v>
                </c:pt>
                <c:pt idx="3">
                  <c:v>9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40-4521-984E-BBDB83B662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 - достатній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сенсорно-пізнавальному просторі</c:v>
                </c:pt>
                <c:pt idx="2">
                  <c:v>Дитина в природному довкіллі</c:v>
                </c:pt>
                <c:pt idx="3">
                  <c:v>Гра дитини</c:v>
                </c:pt>
                <c:pt idx="4">
                  <c:v>Дитина в соціумі</c:v>
                </c:pt>
                <c:pt idx="5">
                  <c:v>Мовлення дитини</c:v>
                </c:pt>
                <c:pt idx="6">
                  <c:v>Дитина у світі мистецтва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30</c:v>
                </c:pt>
                <c:pt idx="1">
                  <c:v>25</c:v>
                </c:pt>
                <c:pt idx="2">
                  <c:v>32</c:v>
                </c:pt>
                <c:pt idx="3">
                  <c:v>32</c:v>
                </c:pt>
                <c:pt idx="4">
                  <c:v>18</c:v>
                </c:pt>
                <c:pt idx="5">
                  <c:v>22</c:v>
                </c:pt>
                <c:pt idx="6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40-4521-984E-BBDB83B662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- середній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сенсорно-пізнавальному просторі</c:v>
                </c:pt>
                <c:pt idx="2">
                  <c:v>Дитина в природному довкіллі</c:v>
                </c:pt>
                <c:pt idx="3">
                  <c:v>Гра дитини</c:v>
                </c:pt>
                <c:pt idx="4">
                  <c:v>Дитина в соціумі</c:v>
                </c:pt>
                <c:pt idx="5">
                  <c:v>Мовлення дитини</c:v>
                </c:pt>
                <c:pt idx="6">
                  <c:v>Дитина у світі мистецтва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</c:v>
                </c:pt>
                <c:pt idx="1">
                  <c:v>22</c:v>
                </c:pt>
                <c:pt idx="2">
                  <c:v>17</c:v>
                </c:pt>
                <c:pt idx="3">
                  <c:v>11</c:v>
                </c:pt>
                <c:pt idx="4">
                  <c:v>23</c:v>
                </c:pt>
                <c:pt idx="5">
                  <c:v>23</c:v>
                </c:pt>
                <c:pt idx="6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40-4521-984E-BBDB83B662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 - початковий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сенсорно-пізнавальному просторі</c:v>
                </c:pt>
                <c:pt idx="2">
                  <c:v>Дитина в природному довкіллі</c:v>
                </c:pt>
                <c:pt idx="3">
                  <c:v>Гра дитини</c:v>
                </c:pt>
                <c:pt idx="4">
                  <c:v>Дитина в соціумі</c:v>
                </c:pt>
                <c:pt idx="5">
                  <c:v>Мовлення дитини</c:v>
                </c:pt>
                <c:pt idx="6">
                  <c:v>Дитина у світі мистецтва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  <c:pt idx="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D40-4521-984E-BBDB83B662A6}"/>
            </c:ext>
          </c:extLst>
        </c:ser>
        <c:overlap val="100"/>
        <c:axId val="55863168"/>
        <c:axId val="55864704"/>
      </c:barChart>
      <c:catAx>
        <c:axId val="55863168"/>
        <c:scaling>
          <c:orientation val="minMax"/>
        </c:scaling>
        <c:axPos val="b"/>
        <c:numFmt formatCode="General" sourceLinked="0"/>
        <c:tickLblPos val="nextTo"/>
        <c:crossAx val="55864704"/>
        <c:crosses val="autoZero"/>
        <c:auto val="1"/>
        <c:lblAlgn val="ctr"/>
        <c:lblOffset val="100"/>
      </c:catAx>
      <c:valAx>
        <c:axId val="55864704"/>
        <c:scaling>
          <c:orientation val="minMax"/>
        </c:scaling>
        <c:axPos val="l"/>
        <c:majorGridlines/>
        <c:numFmt formatCode="0%" sourceLinked="1"/>
        <c:tickLblPos val="nextTo"/>
        <c:crossAx val="558631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C468-2C7D-4FB3-B2BE-CA7FF357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23</cp:revision>
  <cp:lastPrinted>2001-12-31T22:20:00Z</cp:lastPrinted>
  <dcterms:created xsi:type="dcterms:W3CDTF">2023-05-15T06:01:00Z</dcterms:created>
  <dcterms:modified xsi:type="dcterms:W3CDTF">2025-01-30T08:08:00Z</dcterms:modified>
</cp:coreProperties>
</file>