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C3" w:rsidRPr="00BE44C3" w:rsidRDefault="00BE44C3" w:rsidP="00BE44C3">
      <w:pPr>
        <w:jc w:val="center"/>
        <w:rPr>
          <w:rFonts w:ascii="Times New Roman" w:hAnsi="Times New Roman" w:cs="Times New Roman"/>
          <w:b/>
          <w:sz w:val="28"/>
          <w:szCs w:val="28"/>
          <w:lang w:val="uk-UA"/>
        </w:rPr>
      </w:pPr>
      <w:r w:rsidRPr="00BE44C3">
        <w:rPr>
          <w:rFonts w:ascii="Times New Roman" w:hAnsi="Times New Roman" w:cs="Times New Roman"/>
          <w:b/>
          <w:sz w:val="28"/>
          <w:szCs w:val="28"/>
          <w:lang w:val="uk-UA"/>
        </w:rPr>
        <w:t>Підсумки моніторингу розвитку компетентностей дітей раннього та дошкільного віку згідно вимог Базового компонента дошкільної освіти (нова редакція) у закладі дошкільної освіти №1 «Теремок»</w:t>
      </w:r>
    </w:p>
    <w:p w:rsidR="00BE44C3" w:rsidRPr="00BE44C3" w:rsidRDefault="00BE44C3" w:rsidP="00BE44C3">
      <w:pPr>
        <w:jc w:val="center"/>
        <w:rPr>
          <w:rFonts w:ascii="Times New Roman" w:hAnsi="Times New Roman" w:cs="Times New Roman"/>
          <w:b/>
          <w:sz w:val="28"/>
          <w:szCs w:val="28"/>
          <w:lang w:val="uk-UA"/>
        </w:rPr>
      </w:pPr>
      <w:r w:rsidRPr="00BE44C3">
        <w:rPr>
          <w:rFonts w:ascii="Times New Roman" w:hAnsi="Times New Roman" w:cs="Times New Roman"/>
          <w:b/>
          <w:sz w:val="28"/>
          <w:szCs w:val="28"/>
          <w:lang w:val="uk-UA"/>
        </w:rPr>
        <w:t>у 2024/2025 н. р. (початковий)</w:t>
      </w:r>
    </w:p>
    <w:p w:rsidR="00BE44C3" w:rsidRPr="00BE44C3" w:rsidRDefault="00BE44C3" w:rsidP="00BE44C3">
      <w:pPr>
        <w:ind w:firstLine="708"/>
        <w:jc w:val="both"/>
        <w:rPr>
          <w:rFonts w:ascii="Times New Roman" w:hAnsi="Times New Roman" w:cs="Times New Roman"/>
          <w:sz w:val="28"/>
          <w:szCs w:val="28"/>
          <w:lang w:val="uk-UA"/>
        </w:rPr>
      </w:pPr>
      <w:r w:rsidRPr="00BE44C3">
        <w:rPr>
          <w:rFonts w:ascii="Times New Roman" w:hAnsi="Times New Roman" w:cs="Times New Roman"/>
          <w:sz w:val="28"/>
          <w:szCs w:val="28"/>
          <w:lang w:val="uk-UA"/>
        </w:rPr>
        <w:t>На виконання статті 22 Закону України «Про дошкільну освіту», державних вимог до рівня розвиненості та вихованості дитини дошкільного віку, визначених Базовим компонентом дошкільної освіти, з метою ефективного всебічного вивчення розвитку компетенції кожної дитини з 14-18.10.2024 року</w:t>
      </w:r>
      <w:r>
        <w:rPr>
          <w:rFonts w:ascii="Times New Roman" w:hAnsi="Times New Roman" w:cs="Times New Roman"/>
          <w:sz w:val="28"/>
          <w:szCs w:val="28"/>
          <w:lang w:val="uk-UA"/>
        </w:rPr>
        <w:t xml:space="preserve"> </w:t>
      </w:r>
      <w:r w:rsidRPr="00BE44C3">
        <w:rPr>
          <w:rFonts w:ascii="Times New Roman" w:hAnsi="Times New Roman" w:cs="Times New Roman"/>
          <w:sz w:val="28"/>
          <w:szCs w:val="28"/>
          <w:lang w:val="uk-UA"/>
        </w:rPr>
        <w:t>було проведено моніторинг розвитку компетентностей дітей раннього, молодшого, середнього та старшого дошкільного віку, який дозволив визначити рівень показників компетенції (знань, умінь і навичок) вихованців закладу дошкільної освіти №1 «Теремок».</w:t>
      </w:r>
    </w:p>
    <w:p w:rsidR="00BE44C3" w:rsidRPr="00BE44C3" w:rsidRDefault="00BE44C3" w:rsidP="00BE44C3">
      <w:pPr>
        <w:ind w:firstLine="708"/>
        <w:jc w:val="both"/>
        <w:rPr>
          <w:rFonts w:ascii="Times New Roman" w:hAnsi="Times New Roman" w:cs="Times New Roman"/>
          <w:sz w:val="28"/>
          <w:szCs w:val="28"/>
          <w:lang w:val="uk-UA"/>
        </w:rPr>
      </w:pPr>
      <w:r w:rsidRPr="00BE44C3">
        <w:rPr>
          <w:rFonts w:ascii="Times New Roman" w:hAnsi="Times New Roman" w:cs="Times New Roman"/>
          <w:sz w:val="28"/>
          <w:szCs w:val="28"/>
          <w:lang w:val="uk-UA"/>
        </w:rPr>
        <w:t xml:space="preserve">Моніторинг здійснювався педагогічними працівниками у складі вихователів: </w:t>
      </w:r>
      <w:proofErr w:type="spellStart"/>
      <w:r w:rsidRPr="00BE44C3">
        <w:rPr>
          <w:rFonts w:ascii="Times New Roman" w:hAnsi="Times New Roman" w:cs="Times New Roman"/>
          <w:sz w:val="28"/>
          <w:szCs w:val="28"/>
          <w:lang w:val="uk-UA"/>
        </w:rPr>
        <w:t>Вітюк</w:t>
      </w:r>
      <w:proofErr w:type="spellEnd"/>
      <w:r w:rsidRPr="00BE44C3">
        <w:rPr>
          <w:rFonts w:ascii="Times New Roman" w:hAnsi="Times New Roman" w:cs="Times New Roman"/>
          <w:sz w:val="28"/>
          <w:szCs w:val="28"/>
          <w:lang w:val="uk-UA"/>
        </w:rPr>
        <w:t xml:space="preserve"> Галини, Мазуренко Оксани,</w:t>
      </w:r>
      <w:r>
        <w:rPr>
          <w:rFonts w:ascii="Times New Roman" w:hAnsi="Times New Roman" w:cs="Times New Roman"/>
          <w:sz w:val="28"/>
          <w:szCs w:val="28"/>
          <w:lang w:val="uk-UA"/>
        </w:rPr>
        <w:t xml:space="preserve"> </w:t>
      </w:r>
      <w:proofErr w:type="spellStart"/>
      <w:r w:rsidRPr="00BE44C3">
        <w:rPr>
          <w:rFonts w:ascii="Times New Roman" w:hAnsi="Times New Roman" w:cs="Times New Roman"/>
          <w:sz w:val="28"/>
          <w:szCs w:val="28"/>
          <w:lang w:val="uk-UA"/>
        </w:rPr>
        <w:t>Кукелко</w:t>
      </w:r>
      <w:proofErr w:type="spellEnd"/>
      <w:r w:rsidRPr="00BE44C3">
        <w:rPr>
          <w:rFonts w:ascii="Times New Roman" w:hAnsi="Times New Roman" w:cs="Times New Roman"/>
          <w:sz w:val="28"/>
          <w:szCs w:val="28"/>
          <w:lang w:val="uk-UA"/>
        </w:rPr>
        <w:t xml:space="preserve"> Лесі, </w:t>
      </w:r>
      <w:proofErr w:type="spellStart"/>
      <w:r w:rsidRPr="00BE44C3">
        <w:rPr>
          <w:rFonts w:ascii="Times New Roman" w:hAnsi="Times New Roman" w:cs="Times New Roman"/>
          <w:sz w:val="28"/>
          <w:szCs w:val="28"/>
          <w:lang w:val="uk-UA"/>
        </w:rPr>
        <w:t>Шидловської</w:t>
      </w:r>
      <w:proofErr w:type="spellEnd"/>
      <w:r w:rsidRPr="00BE44C3">
        <w:rPr>
          <w:rFonts w:ascii="Times New Roman" w:hAnsi="Times New Roman" w:cs="Times New Roman"/>
          <w:sz w:val="28"/>
          <w:szCs w:val="28"/>
          <w:lang w:val="uk-UA"/>
        </w:rPr>
        <w:t xml:space="preserve"> Інни,</w:t>
      </w:r>
      <w:r>
        <w:rPr>
          <w:rFonts w:ascii="Times New Roman" w:hAnsi="Times New Roman" w:cs="Times New Roman"/>
          <w:sz w:val="28"/>
          <w:szCs w:val="28"/>
          <w:lang w:val="uk-UA"/>
        </w:rPr>
        <w:t xml:space="preserve"> </w:t>
      </w:r>
      <w:r w:rsidRPr="00BE44C3">
        <w:rPr>
          <w:rFonts w:ascii="Times New Roman" w:hAnsi="Times New Roman" w:cs="Times New Roman"/>
          <w:sz w:val="28"/>
          <w:szCs w:val="28"/>
          <w:lang w:val="uk-UA"/>
        </w:rPr>
        <w:t xml:space="preserve">Слободянюк Інни,Мельничук Галини, Сліпчук Катерини. Також до моніторингу були залучені практичний психолог Бондар  Тетяна та вихователь-методист Інна Слободянюк, що дало можливість повноцінно вивчити особливості розвитку вихованців. </w:t>
      </w:r>
    </w:p>
    <w:p w:rsidR="00BE44C3" w:rsidRPr="00BE44C3" w:rsidRDefault="00BE44C3" w:rsidP="00BE44C3">
      <w:pPr>
        <w:ind w:firstLine="708"/>
        <w:jc w:val="both"/>
        <w:rPr>
          <w:rFonts w:ascii="Times New Roman" w:hAnsi="Times New Roman" w:cs="Times New Roman"/>
          <w:sz w:val="28"/>
          <w:szCs w:val="28"/>
          <w:lang w:val="uk-UA"/>
        </w:rPr>
      </w:pPr>
      <w:r w:rsidRPr="00BE44C3">
        <w:rPr>
          <w:rFonts w:ascii="Times New Roman" w:hAnsi="Times New Roman" w:cs="Times New Roman"/>
          <w:sz w:val="28"/>
          <w:szCs w:val="28"/>
          <w:lang w:val="uk-UA"/>
        </w:rPr>
        <w:t>З метою проведення цілеспрямованого і повного педагогічного обстеження рівня компетенції відповідно до вимог Базового компонента дошкільної освіти, протягом зазначеного періоду педагоги оцінювали досягнення дітей кожної вікової групи за показниками (критеріями) шести освітніх напрямів («Особистість дитини», «Дитина в сенсорно-пізнавальному просторі», «Дитина в природному довкіллі», «Дитина в соціумі», «Гра дитини», «Мовлення дитини», «Дитина у світі мистецтва»).</w:t>
      </w:r>
    </w:p>
    <w:p w:rsidR="00BE44C3" w:rsidRPr="00BE44C3" w:rsidRDefault="00BE44C3" w:rsidP="00BE44C3">
      <w:pPr>
        <w:ind w:firstLine="708"/>
        <w:jc w:val="both"/>
        <w:rPr>
          <w:rFonts w:ascii="Times New Roman" w:hAnsi="Times New Roman" w:cs="Times New Roman"/>
          <w:sz w:val="28"/>
          <w:szCs w:val="28"/>
          <w:lang w:val="uk-UA"/>
        </w:rPr>
      </w:pPr>
      <w:r w:rsidRPr="00BE44C3">
        <w:rPr>
          <w:rFonts w:ascii="Times New Roman" w:hAnsi="Times New Roman" w:cs="Times New Roman"/>
          <w:sz w:val="28"/>
          <w:szCs w:val="28"/>
          <w:lang w:val="uk-UA"/>
        </w:rPr>
        <w:t>Результати моніторингового обстеження кожної дитини було внесено у картки визначення рівня досягнень дітей відповідної вікової групи.</w:t>
      </w:r>
    </w:p>
    <w:p w:rsidR="00BE44C3" w:rsidRPr="00BE44C3" w:rsidRDefault="00BE44C3" w:rsidP="00BE44C3">
      <w:pPr>
        <w:ind w:firstLine="708"/>
        <w:jc w:val="both"/>
        <w:rPr>
          <w:rFonts w:ascii="Times New Roman" w:hAnsi="Times New Roman" w:cs="Times New Roman"/>
          <w:sz w:val="28"/>
          <w:szCs w:val="28"/>
          <w:lang w:val="uk-UA"/>
        </w:rPr>
      </w:pPr>
      <w:r w:rsidRPr="00BE44C3">
        <w:rPr>
          <w:rFonts w:ascii="Times New Roman" w:hAnsi="Times New Roman" w:cs="Times New Roman"/>
          <w:sz w:val="28"/>
          <w:szCs w:val="28"/>
          <w:lang w:val="uk-UA"/>
        </w:rPr>
        <w:t>Педагоги були забезпечені інструментарієм для здійснення моніторингу, матеріалами щодо фіксування результатів (таблицями) та матеріалами проведення педагогічної діагностики.</w:t>
      </w:r>
    </w:p>
    <w:p w:rsidR="00BE44C3" w:rsidRPr="00BE44C3" w:rsidRDefault="00BE44C3" w:rsidP="00BE44C3">
      <w:pPr>
        <w:ind w:firstLine="708"/>
        <w:jc w:val="both"/>
        <w:rPr>
          <w:rFonts w:ascii="Times New Roman" w:hAnsi="Times New Roman" w:cs="Times New Roman"/>
          <w:b/>
          <w:sz w:val="28"/>
          <w:szCs w:val="28"/>
          <w:lang w:val="uk-UA"/>
        </w:rPr>
      </w:pPr>
      <w:r w:rsidRPr="00BE44C3">
        <w:rPr>
          <w:rFonts w:ascii="Times New Roman" w:hAnsi="Times New Roman" w:cs="Times New Roman"/>
          <w:sz w:val="28"/>
          <w:szCs w:val="28"/>
          <w:lang w:val="uk-UA"/>
        </w:rPr>
        <w:t>Вихователь-методист Інна Слободянюк проаналізувала та узагальнила дані педагогічного вивчення на основі результатів моніторингу та сформувала таблицю узагальнених показників моніторингу навчальних досягнень дошкільників ЗДО №1 «Теремок» за Базовим компонентом дошкільної освіти (нова редакція), у 2024/2025н. р. (початковий) (Додаток 1).</w:t>
      </w:r>
    </w:p>
    <w:p w:rsidR="00BE44C3" w:rsidRPr="00BE44C3" w:rsidRDefault="00BE44C3" w:rsidP="00BE44C3">
      <w:pPr>
        <w:ind w:firstLine="708"/>
        <w:jc w:val="both"/>
        <w:rPr>
          <w:rFonts w:ascii="Times New Roman" w:hAnsi="Times New Roman" w:cs="Times New Roman"/>
          <w:sz w:val="28"/>
          <w:szCs w:val="28"/>
          <w:lang w:val="uk-UA"/>
        </w:rPr>
      </w:pPr>
      <w:r w:rsidRPr="00BE44C3">
        <w:rPr>
          <w:rFonts w:ascii="Times New Roman" w:hAnsi="Times New Roman" w:cs="Times New Roman"/>
          <w:sz w:val="28"/>
          <w:szCs w:val="28"/>
          <w:lang w:val="uk-UA"/>
        </w:rPr>
        <w:lastRenderedPageBreak/>
        <w:t>Моніторингом було охоплено 57 дітей раннього, молодшого  середнього та старшого дошкільного віку.</w:t>
      </w:r>
    </w:p>
    <w:p w:rsidR="00BE44C3" w:rsidRPr="00BE44C3" w:rsidRDefault="00BE44C3" w:rsidP="00BE44C3">
      <w:pPr>
        <w:ind w:firstLine="708"/>
        <w:jc w:val="both"/>
        <w:rPr>
          <w:rFonts w:ascii="Times New Roman" w:hAnsi="Times New Roman" w:cs="Times New Roman"/>
          <w:sz w:val="28"/>
          <w:szCs w:val="28"/>
          <w:lang w:val="uk-UA"/>
        </w:rPr>
      </w:pPr>
    </w:p>
    <w:p w:rsidR="00BE44C3" w:rsidRPr="00BE44C3" w:rsidRDefault="00BE44C3" w:rsidP="00BE44C3">
      <w:pPr>
        <w:ind w:firstLine="708"/>
        <w:jc w:val="both"/>
        <w:rPr>
          <w:rFonts w:ascii="Times New Roman" w:hAnsi="Times New Roman" w:cs="Times New Roman"/>
          <w:sz w:val="28"/>
          <w:szCs w:val="28"/>
          <w:lang w:val="uk-UA"/>
        </w:rPr>
      </w:pPr>
      <w:r w:rsidRPr="00BE44C3">
        <w:rPr>
          <w:rFonts w:ascii="Times New Roman" w:eastAsia="Calibri" w:hAnsi="Times New Roman" w:cs="Times New Roman"/>
          <w:noProof/>
          <w:sz w:val="28"/>
          <w:szCs w:val="28"/>
        </w:rPr>
        <w:drawing>
          <wp:inline distT="0" distB="0" distL="0" distR="0">
            <wp:extent cx="5505450" cy="3362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E44C3" w:rsidRPr="00BE44C3" w:rsidRDefault="00BE44C3" w:rsidP="00BE44C3">
      <w:pPr>
        <w:jc w:val="both"/>
        <w:rPr>
          <w:rFonts w:ascii="Times New Roman" w:hAnsi="Times New Roman" w:cs="Times New Roman"/>
          <w:sz w:val="28"/>
          <w:szCs w:val="28"/>
          <w:lang w:val="uk-UA"/>
        </w:rPr>
      </w:pPr>
    </w:p>
    <w:p w:rsidR="00BE44C3" w:rsidRPr="00BE44C3" w:rsidRDefault="00BE44C3" w:rsidP="00BE44C3">
      <w:pPr>
        <w:ind w:firstLine="708"/>
        <w:jc w:val="both"/>
        <w:rPr>
          <w:rFonts w:ascii="Times New Roman" w:hAnsi="Times New Roman" w:cs="Times New Roman"/>
          <w:sz w:val="28"/>
          <w:szCs w:val="28"/>
          <w:lang w:val="uk-UA"/>
        </w:rPr>
      </w:pPr>
      <w:r w:rsidRPr="00BE44C3">
        <w:rPr>
          <w:rFonts w:ascii="Times New Roman" w:hAnsi="Times New Roman" w:cs="Times New Roman"/>
          <w:sz w:val="28"/>
          <w:szCs w:val="28"/>
          <w:lang w:val="uk-UA"/>
        </w:rPr>
        <w:t>З даних моніторингових досліджень можна зробити висновок, що здебільшого дошкільнята мають середній та достатній рівень розвитку компетентностей.</w:t>
      </w:r>
    </w:p>
    <w:p w:rsidR="00BE44C3" w:rsidRDefault="00BE44C3" w:rsidP="00BE44C3">
      <w:pPr>
        <w:ind w:firstLine="708"/>
        <w:jc w:val="both"/>
        <w:rPr>
          <w:rFonts w:ascii="Times New Roman" w:hAnsi="Times New Roman" w:cs="Times New Roman"/>
          <w:sz w:val="28"/>
          <w:szCs w:val="28"/>
          <w:lang w:val="uk-UA"/>
        </w:rPr>
        <w:sectPr w:rsidR="00BE44C3">
          <w:pgSz w:w="11906" w:h="16838"/>
          <w:pgMar w:top="1134" w:right="624" w:bottom="1134" w:left="1701" w:header="709" w:footer="709" w:gutter="0"/>
          <w:cols w:space="720"/>
        </w:sectPr>
      </w:pPr>
      <w:r w:rsidRPr="00BE44C3">
        <w:rPr>
          <w:rFonts w:ascii="Times New Roman" w:hAnsi="Times New Roman" w:cs="Times New Roman"/>
          <w:sz w:val="28"/>
          <w:szCs w:val="28"/>
          <w:lang w:val="uk-UA"/>
        </w:rPr>
        <w:t>Вихователем-методистом у співпраці з педагогами були проаналізовані результати та за динамікою змін у розвитку дошкільників були визначені необхідні методи надання їм допомоги за кожним освітнім напрямом Базового компонента дошкільної освіти, програми розвитку дити</w:t>
      </w:r>
      <w:r w:rsidR="0035404C">
        <w:rPr>
          <w:rFonts w:ascii="Times New Roman" w:hAnsi="Times New Roman" w:cs="Times New Roman"/>
          <w:sz w:val="28"/>
          <w:szCs w:val="28"/>
          <w:lang w:val="uk-UA"/>
        </w:rPr>
        <w:t>ни дошкільного віку «</w:t>
      </w:r>
      <w:proofErr w:type="spellStart"/>
      <w:r w:rsidR="0035404C">
        <w:rPr>
          <w:rFonts w:ascii="Times New Roman" w:hAnsi="Times New Roman" w:cs="Times New Roman"/>
          <w:sz w:val="28"/>
          <w:szCs w:val="28"/>
          <w:lang w:val="uk-UA"/>
        </w:rPr>
        <w:t>Українське</w:t>
      </w:r>
      <w:r w:rsidRPr="00BE44C3">
        <w:rPr>
          <w:rFonts w:ascii="Times New Roman" w:hAnsi="Times New Roman" w:cs="Times New Roman"/>
          <w:sz w:val="28"/>
          <w:szCs w:val="28"/>
          <w:lang w:val="uk-UA"/>
        </w:rPr>
        <w:t>дошкілля</w:t>
      </w:r>
      <w:proofErr w:type="spellEnd"/>
      <w:r w:rsidRPr="00BE44C3">
        <w:rPr>
          <w:rFonts w:ascii="Times New Roman" w:hAnsi="Times New Roman" w:cs="Times New Roman"/>
          <w:sz w:val="28"/>
          <w:szCs w:val="28"/>
          <w:lang w:val="uk-UA"/>
        </w:rPr>
        <w:t>»</w:t>
      </w:r>
      <w:r w:rsidR="0035404C">
        <w:rPr>
          <w:rFonts w:ascii="Times New Roman" w:hAnsi="Times New Roman" w:cs="Times New Roman"/>
          <w:sz w:val="28"/>
          <w:szCs w:val="28"/>
          <w:lang w:val="uk-UA"/>
        </w:rPr>
        <w:t>.</w:t>
      </w:r>
      <w:r w:rsidRPr="00BE44C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p w:rsidR="00BE44C3" w:rsidRPr="00BE44C3" w:rsidRDefault="00BE44C3" w:rsidP="00BE44C3">
      <w:pPr>
        <w:jc w:val="right"/>
        <w:rPr>
          <w:rFonts w:ascii="Times New Roman" w:hAnsi="Times New Roman" w:cs="Times New Roman"/>
          <w:b/>
          <w:sz w:val="28"/>
          <w:szCs w:val="28"/>
          <w:lang w:val="uk-UA"/>
        </w:rPr>
      </w:pPr>
      <w:r w:rsidRPr="00BE44C3">
        <w:rPr>
          <w:rFonts w:ascii="Times New Roman" w:hAnsi="Times New Roman" w:cs="Times New Roman"/>
          <w:b/>
          <w:sz w:val="28"/>
          <w:szCs w:val="28"/>
          <w:lang w:val="uk-UA"/>
        </w:rPr>
        <w:lastRenderedPageBreak/>
        <w:t>Додаток 1</w:t>
      </w:r>
    </w:p>
    <w:p w:rsidR="00BE44C3" w:rsidRPr="00BE44C3" w:rsidRDefault="00BE44C3" w:rsidP="00BE44C3">
      <w:pPr>
        <w:jc w:val="center"/>
        <w:rPr>
          <w:rFonts w:ascii="Times New Roman" w:hAnsi="Times New Roman" w:cs="Times New Roman"/>
          <w:b/>
          <w:sz w:val="28"/>
          <w:szCs w:val="28"/>
          <w:lang w:val="uk-UA"/>
        </w:rPr>
      </w:pPr>
      <w:r w:rsidRPr="00BE44C3">
        <w:rPr>
          <w:rFonts w:ascii="Times New Roman" w:hAnsi="Times New Roman" w:cs="Times New Roman"/>
          <w:b/>
          <w:sz w:val="28"/>
          <w:szCs w:val="28"/>
          <w:lang w:val="uk-UA"/>
        </w:rPr>
        <w:t xml:space="preserve">Узагальнені показники моніторингу розвитку компетентностей дошкільників ЗДО №1 «Теремок» </w:t>
      </w:r>
    </w:p>
    <w:p w:rsidR="00BE44C3" w:rsidRPr="00BE44C3" w:rsidRDefault="00BE44C3" w:rsidP="00BE44C3">
      <w:pPr>
        <w:jc w:val="center"/>
        <w:rPr>
          <w:rFonts w:ascii="Times New Roman" w:hAnsi="Times New Roman" w:cs="Times New Roman"/>
          <w:b/>
          <w:sz w:val="28"/>
          <w:szCs w:val="28"/>
          <w:lang w:val="uk-UA"/>
        </w:rPr>
      </w:pPr>
      <w:r w:rsidRPr="00BE44C3">
        <w:rPr>
          <w:rFonts w:ascii="Times New Roman" w:hAnsi="Times New Roman" w:cs="Times New Roman"/>
          <w:b/>
          <w:sz w:val="28"/>
          <w:szCs w:val="28"/>
          <w:lang w:val="uk-UA"/>
        </w:rPr>
        <w:t>за Базовим компонентом дошкільної освіти (нова редакція),</w:t>
      </w:r>
    </w:p>
    <w:p w:rsidR="00BE44C3" w:rsidRPr="00BE44C3" w:rsidRDefault="00BE44C3" w:rsidP="00BE44C3">
      <w:pPr>
        <w:jc w:val="center"/>
        <w:rPr>
          <w:rFonts w:ascii="Times New Roman" w:hAnsi="Times New Roman" w:cs="Times New Roman"/>
          <w:b/>
          <w:sz w:val="28"/>
          <w:szCs w:val="28"/>
          <w:lang w:val="uk-UA"/>
        </w:rPr>
      </w:pPr>
      <w:r w:rsidRPr="00BE44C3">
        <w:rPr>
          <w:rFonts w:ascii="Times New Roman" w:hAnsi="Times New Roman" w:cs="Times New Roman"/>
          <w:b/>
          <w:sz w:val="28"/>
          <w:szCs w:val="28"/>
          <w:lang w:val="uk-UA"/>
        </w:rPr>
        <w:t>за І півріччя 2023/2024 н. р.</w:t>
      </w:r>
    </w:p>
    <w:tbl>
      <w:tblPr>
        <w:tblStyle w:val="a3"/>
        <w:tblW w:w="0" w:type="auto"/>
        <w:tblLook w:val="04A0"/>
      </w:tblPr>
      <w:tblGrid>
        <w:gridCol w:w="2034"/>
        <w:gridCol w:w="1665"/>
        <w:gridCol w:w="1749"/>
        <w:gridCol w:w="2098"/>
        <w:gridCol w:w="1764"/>
        <w:gridCol w:w="1179"/>
        <w:gridCol w:w="1207"/>
        <w:gridCol w:w="1537"/>
        <w:gridCol w:w="1553"/>
      </w:tblGrid>
      <w:tr w:rsidR="00BE44C3" w:rsidRPr="00BE44C3" w:rsidTr="00BE44C3">
        <w:tc>
          <w:tcPr>
            <w:tcW w:w="2235"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Групи</w:t>
            </w:r>
          </w:p>
        </w:tc>
        <w:tc>
          <w:tcPr>
            <w:tcW w:w="1774"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Рівні засвоєння</w:t>
            </w:r>
          </w:p>
        </w:tc>
        <w:tc>
          <w:tcPr>
            <w:tcW w:w="1674"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Особистість дитини</w:t>
            </w:r>
          </w:p>
        </w:tc>
        <w:tc>
          <w:tcPr>
            <w:tcW w:w="1829"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Дитина в сенсорно-пізнавальному просторі</w:t>
            </w:r>
          </w:p>
        </w:tc>
        <w:tc>
          <w:tcPr>
            <w:tcW w:w="1676"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Дитина в природному довкіллі</w:t>
            </w:r>
          </w:p>
        </w:tc>
        <w:tc>
          <w:tcPr>
            <w:tcW w:w="1572"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Гра дитини</w:t>
            </w:r>
          </w:p>
        </w:tc>
        <w:tc>
          <w:tcPr>
            <w:tcW w:w="1577"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Дитина в соціумі</w:t>
            </w:r>
          </w:p>
        </w:tc>
        <w:tc>
          <w:tcPr>
            <w:tcW w:w="1637"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Мовлення дитини</w:t>
            </w:r>
          </w:p>
        </w:tc>
        <w:tc>
          <w:tcPr>
            <w:tcW w:w="1640"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Дитина у світі мистецтва</w:t>
            </w:r>
          </w:p>
        </w:tc>
      </w:tr>
      <w:tr w:rsidR="00BE44C3" w:rsidRPr="00BE44C3" w:rsidTr="00BE44C3">
        <w:trPr>
          <w:trHeight w:val="320"/>
        </w:trPr>
        <w:tc>
          <w:tcPr>
            <w:tcW w:w="2235" w:type="dxa"/>
            <w:vMerge w:val="restart"/>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Група раннього віку №1</w:t>
            </w:r>
          </w:p>
        </w:tc>
        <w:tc>
          <w:tcPr>
            <w:tcW w:w="17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Високий</w:t>
            </w:r>
          </w:p>
        </w:tc>
        <w:tc>
          <w:tcPr>
            <w:tcW w:w="16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829"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76"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572"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57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3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40"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r>
      <w:tr w:rsidR="00BE44C3" w:rsidRPr="00BE44C3" w:rsidTr="00BE44C3">
        <w:trPr>
          <w:trHeight w:val="32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Достатній</w:t>
            </w:r>
          </w:p>
        </w:tc>
        <w:tc>
          <w:tcPr>
            <w:tcW w:w="16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9</w:t>
            </w:r>
          </w:p>
        </w:tc>
        <w:tc>
          <w:tcPr>
            <w:tcW w:w="1829"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w:t>
            </w:r>
          </w:p>
        </w:tc>
        <w:tc>
          <w:tcPr>
            <w:tcW w:w="1676"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8</w:t>
            </w:r>
          </w:p>
        </w:tc>
        <w:tc>
          <w:tcPr>
            <w:tcW w:w="1572"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8</w:t>
            </w:r>
          </w:p>
        </w:tc>
        <w:tc>
          <w:tcPr>
            <w:tcW w:w="157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w:t>
            </w:r>
          </w:p>
        </w:tc>
        <w:tc>
          <w:tcPr>
            <w:tcW w:w="163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w:t>
            </w:r>
          </w:p>
        </w:tc>
        <w:tc>
          <w:tcPr>
            <w:tcW w:w="1640"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8</w:t>
            </w:r>
          </w:p>
        </w:tc>
      </w:tr>
      <w:tr w:rsidR="00BE44C3" w:rsidRPr="00BE44C3" w:rsidTr="00BE44C3">
        <w:trPr>
          <w:trHeight w:val="32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Середній</w:t>
            </w:r>
          </w:p>
        </w:tc>
        <w:tc>
          <w:tcPr>
            <w:tcW w:w="16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829"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6</w:t>
            </w:r>
          </w:p>
        </w:tc>
        <w:tc>
          <w:tcPr>
            <w:tcW w:w="1676"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572"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57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6</w:t>
            </w:r>
          </w:p>
        </w:tc>
        <w:tc>
          <w:tcPr>
            <w:tcW w:w="163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w:t>
            </w:r>
          </w:p>
        </w:tc>
        <w:tc>
          <w:tcPr>
            <w:tcW w:w="1640"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r>
      <w:tr w:rsidR="00BE44C3" w:rsidRPr="00BE44C3" w:rsidTr="00BE44C3">
        <w:trPr>
          <w:trHeight w:val="32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Початковий</w:t>
            </w:r>
          </w:p>
        </w:tc>
        <w:tc>
          <w:tcPr>
            <w:tcW w:w="16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829"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676"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572"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57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63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640"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r>
      <w:tr w:rsidR="00BE44C3" w:rsidRPr="00BE44C3" w:rsidTr="00BE44C3">
        <w:trPr>
          <w:trHeight w:val="320"/>
        </w:trPr>
        <w:tc>
          <w:tcPr>
            <w:tcW w:w="2235" w:type="dxa"/>
            <w:vMerge w:val="restart"/>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Молодша група №2</w:t>
            </w:r>
          </w:p>
        </w:tc>
        <w:tc>
          <w:tcPr>
            <w:tcW w:w="17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Високий</w:t>
            </w:r>
          </w:p>
        </w:tc>
        <w:tc>
          <w:tcPr>
            <w:tcW w:w="16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829"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76"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572"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57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3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40"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r>
      <w:tr w:rsidR="00BE44C3" w:rsidRPr="00BE44C3" w:rsidTr="00BE44C3">
        <w:trPr>
          <w:trHeight w:val="338"/>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Достатній</w:t>
            </w:r>
          </w:p>
        </w:tc>
        <w:tc>
          <w:tcPr>
            <w:tcW w:w="16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w:t>
            </w:r>
          </w:p>
        </w:tc>
        <w:tc>
          <w:tcPr>
            <w:tcW w:w="1829"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676"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6</w:t>
            </w:r>
          </w:p>
        </w:tc>
        <w:tc>
          <w:tcPr>
            <w:tcW w:w="1572"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w:t>
            </w:r>
          </w:p>
        </w:tc>
        <w:tc>
          <w:tcPr>
            <w:tcW w:w="157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w:t>
            </w:r>
          </w:p>
        </w:tc>
        <w:tc>
          <w:tcPr>
            <w:tcW w:w="163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640"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r>
      <w:tr w:rsidR="00BE44C3" w:rsidRPr="00BE44C3" w:rsidTr="00BE44C3">
        <w:trPr>
          <w:trHeight w:val="391"/>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Середній</w:t>
            </w:r>
          </w:p>
        </w:tc>
        <w:tc>
          <w:tcPr>
            <w:tcW w:w="16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9</w:t>
            </w:r>
          </w:p>
        </w:tc>
        <w:tc>
          <w:tcPr>
            <w:tcW w:w="1829"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8</w:t>
            </w:r>
          </w:p>
        </w:tc>
        <w:tc>
          <w:tcPr>
            <w:tcW w:w="1676"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8</w:t>
            </w:r>
          </w:p>
        </w:tc>
        <w:tc>
          <w:tcPr>
            <w:tcW w:w="1572"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10</w:t>
            </w:r>
          </w:p>
        </w:tc>
        <w:tc>
          <w:tcPr>
            <w:tcW w:w="157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10</w:t>
            </w:r>
          </w:p>
        </w:tc>
        <w:tc>
          <w:tcPr>
            <w:tcW w:w="163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9</w:t>
            </w:r>
          </w:p>
        </w:tc>
        <w:tc>
          <w:tcPr>
            <w:tcW w:w="1640"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9</w:t>
            </w:r>
          </w:p>
        </w:tc>
      </w:tr>
      <w:tr w:rsidR="00BE44C3" w:rsidRPr="00BE44C3" w:rsidTr="00BE44C3">
        <w:trPr>
          <w:trHeight w:val="391"/>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Початковий</w:t>
            </w:r>
          </w:p>
        </w:tc>
        <w:tc>
          <w:tcPr>
            <w:tcW w:w="1674"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829"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676"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572"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577"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37"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640"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r>
      <w:tr w:rsidR="00BE44C3" w:rsidRPr="00BE44C3" w:rsidTr="00BE44C3">
        <w:trPr>
          <w:trHeight w:val="356"/>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Середня інклюзивна група №3</w:t>
            </w:r>
          </w:p>
        </w:tc>
        <w:tc>
          <w:tcPr>
            <w:tcW w:w="17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Високий</w:t>
            </w:r>
          </w:p>
        </w:tc>
        <w:tc>
          <w:tcPr>
            <w:tcW w:w="16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829"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w:t>
            </w:r>
          </w:p>
        </w:tc>
        <w:tc>
          <w:tcPr>
            <w:tcW w:w="1676"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572"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57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w:t>
            </w:r>
          </w:p>
        </w:tc>
        <w:tc>
          <w:tcPr>
            <w:tcW w:w="163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640"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r>
      <w:tr w:rsidR="00BE44C3" w:rsidRPr="00BE44C3" w:rsidTr="00BE44C3">
        <w:trPr>
          <w:trHeight w:val="3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Достатній</w:t>
            </w:r>
          </w:p>
        </w:tc>
        <w:tc>
          <w:tcPr>
            <w:tcW w:w="16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829"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676"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572"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57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63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8</w:t>
            </w:r>
          </w:p>
        </w:tc>
        <w:tc>
          <w:tcPr>
            <w:tcW w:w="1640"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6</w:t>
            </w:r>
          </w:p>
        </w:tc>
      </w:tr>
      <w:tr w:rsidR="00BE44C3" w:rsidRPr="00BE44C3" w:rsidTr="00BE44C3">
        <w:trPr>
          <w:trHeight w:val="3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Середній</w:t>
            </w:r>
          </w:p>
        </w:tc>
        <w:tc>
          <w:tcPr>
            <w:tcW w:w="16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11</w:t>
            </w:r>
          </w:p>
        </w:tc>
        <w:tc>
          <w:tcPr>
            <w:tcW w:w="1829"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6</w:t>
            </w:r>
          </w:p>
        </w:tc>
        <w:tc>
          <w:tcPr>
            <w:tcW w:w="1676"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8</w:t>
            </w:r>
          </w:p>
        </w:tc>
        <w:tc>
          <w:tcPr>
            <w:tcW w:w="1572"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11</w:t>
            </w:r>
          </w:p>
        </w:tc>
        <w:tc>
          <w:tcPr>
            <w:tcW w:w="157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6</w:t>
            </w:r>
          </w:p>
        </w:tc>
        <w:tc>
          <w:tcPr>
            <w:tcW w:w="163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6</w:t>
            </w:r>
          </w:p>
        </w:tc>
        <w:tc>
          <w:tcPr>
            <w:tcW w:w="1640"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7</w:t>
            </w:r>
          </w:p>
        </w:tc>
      </w:tr>
      <w:tr w:rsidR="00BE44C3" w:rsidRPr="00BE44C3" w:rsidTr="00BE44C3">
        <w:trPr>
          <w:trHeight w:val="3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Початковий</w:t>
            </w:r>
          </w:p>
        </w:tc>
        <w:tc>
          <w:tcPr>
            <w:tcW w:w="1674"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829"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676"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w:t>
            </w:r>
          </w:p>
        </w:tc>
        <w:tc>
          <w:tcPr>
            <w:tcW w:w="1572"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577"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637"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640"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r>
      <w:tr w:rsidR="00BE44C3" w:rsidRPr="00BE44C3" w:rsidTr="00BE44C3">
        <w:trPr>
          <w:trHeight w:val="266"/>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Різновікова інклюзивна група №4</w:t>
            </w:r>
          </w:p>
        </w:tc>
        <w:tc>
          <w:tcPr>
            <w:tcW w:w="17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Високий</w:t>
            </w:r>
          </w:p>
        </w:tc>
        <w:tc>
          <w:tcPr>
            <w:tcW w:w="1674"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829"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76"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572"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57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637"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40" w:type="dxa"/>
            <w:tcBorders>
              <w:top w:val="single" w:sz="4" w:space="0" w:color="000000"/>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r>
      <w:tr w:rsidR="00BE44C3" w:rsidRPr="00BE44C3" w:rsidTr="00BE44C3">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Достатній</w:t>
            </w:r>
          </w:p>
        </w:tc>
        <w:tc>
          <w:tcPr>
            <w:tcW w:w="16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829"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676"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w:t>
            </w:r>
          </w:p>
        </w:tc>
        <w:tc>
          <w:tcPr>
            <w:tcW w:w="1572"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c>
          <w:tcPr>
            <w:tcW w:w="157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63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w:t>
            </w:r>
          </w:p>
        </w:tc>
        <w:tc>
          <w:tcPr>
            <w:tcW w:w="1640"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w:t>
            </w:r>
          </w:p>
        </w:tc>
      </w:tr>
      <w:tr w:rsidR="00BE44C3" w:rsidRPr="00BE44C3" w:rsidTr="00BE44C3">
        <w:trPr>
          <w:trHeight w:val="2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Середній</w:t>
            </w:r>
          </w:p>
        </w:tc>
        <w:tc>
          <w:tcPr>
            <w:tcW w:w="16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w:t>
            </w:r>
          </w:p>
        </w:tc>
        <w:tc>
          <w:tcPr>
            <w:tcW w:w="1829"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6</w:t>
            </w:r>
          </w:p>
        </w:tc>
        <w:tc>
          <w:tcPr>
            <w:tcW w:w="1676"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572"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w:t>
            </w:r>
          </w:p>
        </w:tc>
        <w:tc>
          <w:tcPr>
            <w:tcW w:w="157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7</w:t>
            </w:r>
          </w:p>
        </w:tc>
        <w:tc>
          <w:tcPr>
            <w:tcW w:w="163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7</w:t>
            </w:r>
          </w:p>
        </w:tc>
        <w:tc>
          <w:tcPr>
            <w:tcW w:w="1640"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w:t>
            </w:r>
          </w:p>
        </w:tc>
      </w:tr>
      <w:tr w:rsidR="00BE44C3" w:rsidRPr="00BE44C3" w:rsidTr="00BE44C3">
        <w:trPr>
          <w:trHeight w:val="2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44C3" w:rsidRPr="00BE44C3" w:rsidRDefault="00BE44C3">
            <w:pPr>
              <w:rPr>
                <w:rFonts w:ascii="Times New Roman" w:hAnsi="Times New Roman"/>
                <w:b/>
                <w:sz w:val="28"/>
                <w:szCs w:val="28"/>
                <w:lang w:eastAsia="en-US"/>
              </w:rPr>
            </w:pPr>
          </w:p>
        </w:tc>
        <w:tc>
          <w:tcPr>
            <w:tcW w:w="1774"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sz w:val="28"/>
                <w:szCs w:val="28"/>
                <w:lang w:eastAsia="en-US"/>
              </w:rPr>
            </w:pPr>
            <w:r w:rsidRPr="00BE44C3">
              <w:rPr>
                <w:rFonts w:ascii="Times New Roman" w:hAnsi="Times New Roman"/>
                <w:sz w:val="28"/>
                <w:szCs w:val="28"/>
              </w:rPr>
              <w:t>Початковий</w:t>
            </w:r>
          </w:p>
        </w:tc>
        <w:tc>
          <w:tcPr>
            <w:tcW w:w="1674"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829"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76"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572"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577"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37"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c>
          <w:tcPr>
            <w:tcW w:w="1640"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w:t>
            </w:r>
          </w:p>
        </w:tc>
      </w:tr>
      <w:tr w:rsidR="00BE44C3" w:rsidRPr="00BE44C3" w:rsidTr="00BE44C3">
        <w:trPr>
          <w:trHeight w:val="249"/>
        </w:trPr>
        <w:tc>
          <w:tcPr>
            <w:tcW w:w="2235"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rPr>
                <w:rFonts w:ascii="Times New Roman" w:hAnsi="Times New Roman"/>
                <w:b/>
                <w:sz w:val="28"/>
                <w:szCs w:val="28"/>
                <w:lang w:eastAsia="en-US"/>
              </w:rPr>
            </w:pPr>
            <w:r w:rsidRPr="00BE44C3">
              <w:rPr>
                <w:rFonts w:ascii="Times New Roman" w:hAnsi="Times New Roman"/>
                <w:b/>
                <w:sz w:val="28"/>
                <w:szCs w:val="28"/>
              </w:rPr>
              <w:t>Узагальнений показник</w:t>
            </w:r>
          </w:p>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 xml:space="preserve">В – </w:t>
            </w:r>
            <w:r w:rsidRPr="00BE44C3">
              <w:rPr>
                <w:rFonts w:ascii="Times New Roman" w:hAnsi="Times New Roman"/>
                <w:sz w:val="28"/>
                <w:szCs w:val="28"/>
              </w:rPr>
              <w:t>високий рівень</w:t>
            </w:r>
          </w:p>
        </w:tc>
        <w:tc>
          <w:tcPr>
            <w:tcW w:w="1774" w:type="dxa"/>
            <w:tcBorders>
              <w:top w:val="single" w:sz="4" w:space="0" w:color="auto"/>
              <w:left w:val="single" w:sz="4" w:space="0" w:color="000000"/>
              <w:bottom w:val="single" w:sz="4" w:space="0" w:color="auto"/>
              <w:right w:val="single" w:sz="4" w:space="0" w:color="000000"/>
            </w:tcBorders>
          </w:tcPr>
          <w:p w:rsidR="00BE44C3" w:rsidRPr="00BE44C3" w:rsidRDefault="00BE44C3">
            <w:pPr>
              <w:spacing w:line="276" w:lineRule="auto"/>
              <w:jc w:val="center"/>
              <w:rPr>
                <w:rFonts w:ascii="Times New Roman" w:hAnsi="Times New Roman"/>
                <w:sz w:val="28"/>
                <w:szCs w:val="28"/>
                <w:lang w:eastAsia="en-US"/>
              </w:rPr>
            </w:pPr>
          </w:p>
        </w:tc>
        <w:tc>
          <w:tcPr>
            <w:tcW w:w="16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1</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829"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4</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8%</w:t>
            </w:r>
          </w:p>
        </w:tc>
        <w:tc>
          <w:tcPr>
            <w:tcW w:w="1676"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2</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w:t>
            </w:r>
          </w:p>
        </w:tc>
        <w:tc>
          <w:tcPr>
            <w:tcW w:w="1572"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1</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57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5</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10%</w:t>
            </w:r>
          </w:p>
        </w:tc>
        <w:tc>
          <w:tcPr>
            <w:tcW w:w="163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1</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c>
          <w:tcPr>
            <w:tcW w:w="1640"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1</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w:t>
            </w:r>
          </w:p>
        </w:tc>
      </w:tr>
      <w:tr w:rsidR="00BE44C3" w:rsidRPr="00BE44C3" w:rsidTr="00BE44C3">
        <w:trPr>
          <w:trHeight w:val="249"/>
        </w:trPr>
        <w:tc>
          <w:tcPr>
            <w:tcW w:w="2235"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 xml:space="preserve">Д – </w:t>
            </w:r>
            <w:r w:rsidRPr="00BE44C3">
              <w:rPr>
                <w:rFonts w:ascii="Times New Roman" w:hAnsi="Times New Roman"/>
                <w:sz w:val="28"/>
                <w:szCs w:val="28"/>
              </w:rPr>
              <w:t>достатній рівень</w:t>
            </w:r>
          </w:p>
        </w:tc>
        <w:tc>
          <w:tcPr>
            <w:tcW w:w="1774" w:type="dxa"/>
            <w:tcBorders>
              <w:top w:val="single" w:sz="4" w:space="0" w:color="auto"/>
              <w:left w:val="single" w:sz="4" w:space="0" w:color="000000"/>
              <w:bottom w:val="single" w:sz="4" w:space="0" w:color="auto"/>
              <w:right w:val="single" w:sz="4" w:space="0" w:color="000000"/>
            </w:tcBorders>
          </w:tcPr>
          <w:p w:rsidR="00BE44C3" w:rsidRPr="00BE44C3" w:rsidRDefault="00BE44C3">
            <w:pPr>
              <w:spacing w:line="276" w:lineRule="auto"/>
              <w:jc w:val="center"/>
              <w:rPr>
                <w:rFonts w:ascii="Times New Roman" w:hAnsi="Times New Roman"/>
                <w:sz w:val="28"/>
                <w:szCs w:val="28"/>
                <w:lang w:eastAsia="en-US"/>
              </w:rPr>
            </w:pPr>
          </w:p>
        </w:tc>
        <w:tc>
          <w:tcPr>
            <w:tcW w:w="16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19</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38%</w:t>
            </w:r>
          </w:p>
        </w:tc>
        <w:tc>
          <w:tcPr>
            <w:tcW w:w="1829"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13</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26%</w:t>
            </w:r>
          </w:p>
        </w:tc>
        <w:tc>
          <w:tcPr>
            <w:tcW w:w="1676"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22</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44%</w:t>
            </w:r>
          </w:p>
        </w:tc>
        <w:tc>
          <w:tcPr>
            <w:tcW w:w="1572"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16</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32%</w:t>
            </w:r>
          </w:p>
        </w:tc>
        <w:tc>
          <w:tcPr>
            <w:tcW w:w="157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12</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24%</w:t>
            </w:r>
          </w:p>
        </w:tc>
        <w:tc>
          <w:tcPr>
            <w:tcW w:w="163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16</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32%</w:t>
            </w:r>
          </w:p>
        </w:tc>
        <w:tc>
          <w:tcPr>
            <w:tcW w:w="1640"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20</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40%</w:t>
            </w:r>
          </w:p>
        </w:tc>
      </w:tr>
      <w:tr w:rsidR="00BE44C3" w:rsidRPr="00BE44C3" w:rsidTr="00BE44C3">
        <w:trPr>
          <w:trHeight w:val="249"/>
        </w:trPr>
        <w:tc>
          <w:tcPr>
            <w:tcW w:w="2235"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 xml:space="preserve">С – </w:t>
            </w:r>
            <w:r w:rsidRPr="00BE44C3">
              <w:rPr>
                <w:rFonts w:ascii="Times New Roman" w:hAnsi="Times New Roman"/>
                <w:sz w:val="28"/>
                <w:szCs w:val="28"/>
              </w:rPr>
              <w:t>середній рівень</w:t>
            </w:r>
          </w:p>
        </w:tc>
        <w:tc>
          <w:tcPr>
            <w:tcW w:w="1774" w:type="dxa"/>
            <w:tcBorders>
              <w:top w:val="single" w:sz="4" w:space="0" w:color="auto"/>
              <w:left w:val="single" w:sz="4" w:space="0" w:color="000000"/>
              <w:bottom w:val="single" w:sz="4" w:space="0" w:color="auto"/>
              <w:right w:val="single" w:sz="4" w:space="0" w:color="000000"/>
            </w:tcBorders>
          </w:tcPr>
          <w:p w:rsidR="00BE44C3" w:rsidRPr="00BE44C3" w:rsidRDefault="00BE44C3">
            <w:pPr>
              <w:spacing w:line="276" w:lineRule="auto"/>
              <w:jc w:val="center"/>
              <w:rPr>
                <w:rFonts w:ascii="Times New Roman" w:hAnsi="Times New Roman"/>
                <w:sz w:val="28"/>
                <w:szCs w:val="28"/>
                <w:lang w:eastAsia="en-US"/>
              </w:rPr>
            </w:pPr>
          </w:p>
        </w:tc>
        <w:tc>
          <w:tcPr>
            <w:tcW w:w="1674"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28</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56%</w:t>
            </w:r>
          </w:p>
        </w:tc>
        <w:tc>
          <w:tcPr>
            <w:tcW w:w="1829"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26</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52%</w:t>
            </w:r>
          </w:p>
        </w:tc>
        <w:tc>
          <w:tcPr>
            <w:tcW w:w="1676"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21</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42%</w:t>
            </w:r>
          </w:p>
        </w:tc>
        <w:tc>
          <w:tcPr>
            <w:tcW w:w="1572"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28</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56%</w:t>
            </w:r>
          </w:p>
        </w:tc>
        <w:tc>
          <w:tcPr>
            <w:tcW w:w="157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29</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58%</w:t>
            </w:r>
          </w:p>
        </w:tc>
        <w:tc>
          <w:tcPr>
            <w:tcW w:w="1637"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27</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54%</w:t>
            </w:r>
          </w:p>
        </w:tc>
        <w:tc>
          <w:tcPr>
            <w:tcW w:w="1640" w:type="dxa"/>
            <w:tcBorders>
              <w:top w:val="single" w:sz="4" w:space="0" w:color="auto"/>
              <w:left w:val="single" w:sz="4" w:space="0" w:color="000000"/>
              <w:bottom w:val="single" w:sz="4" w:space="0" w:color="auto"/>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23</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46%</w:t>
            </w:r>
          </w:p>
        </w:tc>
      </w:tr>
      <w:tr w:rsidR="00BE44C3" w:rsidRPr="00BE44C3" w:rsidTr="00BE44C3">
        <w:trPr>
          <w:trHeight w:val="249"/>
        </w:trPr>
        <w:tc>
          <w:tcPr>
            <w:tcW w:w="2235" w:type="dxa"/>
            <w:tcBorders>
              <w:top w:val="single" w:sz="4" w:space="0" w:color="000000"/>
              <w:left w:val="single" w:sz="4" w:space="0" w:color="000000"/>
              <w:bottom w:val="single" w:sz="4" w:space="0" w:color="000000"/>
              <w:right w:val="single" w:sz="4" w:space="0" w:color="000000"/>
            </w:tcBorders>
            <w:hideMark/>
          </w:tcPr>
          <w:p w:rsidR="00BE44C3" w:rsidRPr="00BE44C3" w:rsidRDefault="00BE44C3">
            <w:pPr>
              <w:spacing w:line="276" w:lineRule="auto"/>
              <w:rPr>
                <w:rFonts w:ascii="Times New Roman" w:hAnsi="Times New Roman"/>
                <w:b/>
                <w:sz w:val="28"/>
                <w:szCs w:val="28"/>
                <w:lang w:eastAsia="en-US"/>
              </w:rPr>
            </w:pPr>
            <w:r w:rsidRPr="00BE44C3">
              <w:rPr>
                <w:rFonts w:ascii="Times New Roman" w:hAnsi="Times New Roman"/>
                <w:b/>
                <w:sz w:val="28"/>
                <w:szCs w:val="28"/>
              </w:rPr>
              <w:t xml:space="preserve">П – </w:t>
            </w:r>
            <w:r w:rsidRPr="00BE44C3">
              <w:rPr>
                <w:rFonts w:ascii="Times New Roman" w:hAnsi="Times New Roman"/>
                <w:sz w:val="28"/>
                <w:szCs w:val="28"/>
              </w:rPr>
              <w:t>початковий рівень</w:t>
            </w:r>
          </w:p>
        </w:tc>
        <w:tc>
          <w:tcPr>
            <w:tcW w:w="1774" w:type="dxa"/>
            <w:tcBorders>
              <w:top w:val="single" w:sz="4" w:space="0" w:color="auto"/>
              <w:left w:val="single" w:sz="4" w:space="0" w:color="000000"/>
              <w:bottom w:val="single" w:sz="4" w:space="0" w:color="000000"/>
              <w:right w:val="single" w:sz="4" w:space="0" w:color="000000"/>
            </w:tcBorders>
          </w:tcPr>
          <w:p w:rsidR="00BE44C3" w:rsidRPr="00BE44C3" w:rsidRDefault="00BE44C3">
            <w:pPr>
              <w:spacing w:line="276" w:lineRule="auto"/>
              <w:jc w:val="center"/>
              <w:rPr>
                <w:rFonts w:ascii="Times New Roman" w:hAnsi="Times New Roman"/>
                <w:sz w:val="28"/>
                <w:szCs w:val="28"/>
                <w:lang w:eastAsia="en-US"/>
              </w:rPr>
            </w:pPr>
          </w:p>
        </w:tc>
        <w:tc>
          <w:tcPr>
            <w:tcW w:w="1674"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2</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4%</w:t>
            </w:r>
          </w:p>
        </w:tc>
        <w:tc>
          <w:tcPr>
            <w:tcW w:w="1829"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7</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14%</w:t>
            </w:r>
          </w:p>
        </w:tc>
        <w:tc>
          <w:tcPr>
            <w:tcW w:w="1676"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5</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10%</w:t>
            </w:r>
          </w:p>
        </w:tc>
        <w:tc>
          <w:tcPr>
            <w:tcW w:w="1572"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5</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10%</w:t>
            </w:r>
          </w:p>
        </w:tc>
        <w:tc>
          <w:tcPr>
            <w:tcW w:w="1577"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4</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8%</w:t>
            </w:r>
          </w:p>
        </w:tc>
        <w:tc>
          <w:tcPr>
            <w:tcW w:w="1637"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6</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12%</w:t>
            </w:r>
          </w:p>
        </w:tc>
        <w:tc>
          <w:tcPr>
            <w:tcW w:w="1640" w:type="dxa"/>
            <w:tcBorders>
              <w:top w:val="single" w:sz="4" w:space="0" w:color="auto"/>
              <w:left w:val="single" w:sz="4" w:space="0" w:color="000000"/>
              <w:bottom w:val="single" w:sz="4" w:space="0" w:color="000000"/>
              <w:right w:val="single" w:sz="4" w:space="0" w:color="000000"/>
            </w:tcBorders>
            <w:hideMark/>
          </w:tcPr>
          <w:p w:rsidR="00BE44C3" w:rsidRPr="00BE44C3" w:rsidRDefault="00BE44C3">
            <w:pPr>
              <w:jc w:val="center"/>
              <w:rPr>
                <w:rFonts w:ascii="Times New Roman" w:hAnsi="Times New Roman"/>
                <w:sz w:val="28"/>
                <w:szCs w:val="28"/>
                <w:lang w:eastAsia="en-US"/>
              </w:rPr>
            </w:pPr>
            <w:r w:rsidRPr="00BE44C3">
              <w:rPr>
                <w:rFonts w:ascii="Times New Roman" w:hAnsi="Times New Roman"/>
                <w:sz w:val="28"/>
                <w:szCs w:val="28"/>
              </w:rPr>
              <w:t>6</w:t>
            </w:r>
          </w:p>
          <w:p w:rsidR="00BE44C3" w:rsidRPr="00BE44C3" w:rsidRDefault="00BE44C3">
            <w:pPr>
              <w:spacing w:line="276" w:lineRule="auto"/>
              <w:jc w:val="center"/>
              <w:rPr>
                <w:rFonts w:ascii="Times New Roman" w:hAnsi="Times New Roman"/>
                <w:sz w:val="28"/>
                <w:szCs w:val="28"/>
                <w:lang w:eastAsia="en-US"/>
              </w:rPr>
            </w:pPr>
            <w:r w:rsidRPr="00BE44C3">
              <w:rPr>
                <w:rFonts w:ascii="Times New Roman" w:hAnsi="Times New Roman"/>
                <w:sz w:val="28"/>
                <w:szCs w:val="28"/>
              </w:rPr>
              <w:t>12%</w:t>
            </w:r>
          </w:p>
        </w:tc>
      </w:tr>
    </w:tbl>
    <w:p w:rsidR="00BE44C3" w:rsidRPr="00BE44C3" w:rsidRDefault="00BE44C3" w:rsidP="00BE44C3">
      <w:pPr>
        <w:rPr>
          <w:rFonts w:ascii="Times New Roman" w:hAnsi="Times New Roman" w:cs="Times New Roman"/>
          <w:b/>
          <w:sz w:val="28"/>
          <w:szCs w:val="28"/>
          <w:lang w:val="uk-UA" w:eastAsia="en-US"/>
        </w:rPr>
      </w:pPr>
    </w:p>
    <w:p w:rsidR="004C06B0" w:rsidRPr="00BE44C3" w:rsidRDefault="004C06B0">
      <w:pPr>
        <w:rPr>
          <w:rFonts w:ascii="Times New Roman" w:hAnsi="Times New Roman" w:cs="Times New Roman"/>
          <w:sz w:val="28"/>
          <w:szCs w:val="28"/>
        </w:rPr>
      </w:pPr>
    </w:p>
    <w:sectPr w:rsidR="004C06B0" w:rsidRPr="00BE44C3" w:rsidSect="00BE44C3">
      <w:pgSz w:w="16838" w:h="11906" w:orient="landscape"/>
      <w:pgMar w:top="624"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44C3"/>
    <w:rsid w:val="0035404C"/>
    <w:rsid w:val="004C06B0"/>
    <w:rsid w:val="006E7FA0"/>
    <w:rsid w:val="00BE4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6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E44C3"/>
    <w:pPr>
      <w:spacing w:after="0" w:line="240" w:lineRule="auto"/>
    </w:pPr>
    <w:rPr>
      <w:rFonts w:ascii="Calibri" w:eastAsia="Calibri" w:hAnsi="Calibri" w:cs="Times New Roman"/>
      <w:sz w:val="20"/>
      <w:szCs w:val="20"/>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BE44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4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5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percentStacked"/>
        <c:ser>
          <c:idx val="0"/>
          <c:order val="0"/>
          <c:tx>
            <c:strRef>
              <c:f>Лист1!$B$1</c:f>
              <c:strCache>
                <c:ptCount val="1"/>
                <c:pt idx="0">
                  <c:v>П - початковий</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Лист1!$A$2:$A$8</c:f>
              <c:strCache>
                <c:ptCount val="7"/>
                <c:pt idx="0">
                  <c:v>Особистість дитини</c:v>
                </c:pt>
                <c:pt idx="1">
                  <c:v>Дитина в сенсорно-пізнавальному просторі</c:v>
                </c:pt>
                <c:pt idx="2">
                  <c:v>Дитина в природному довкіллі</c:v>
                </c:pt>
                <c:pt idx="3">
                  <c:v>Гра дитини</c:v>
                </c:pt>
                <c:pt idx="4">
                  <c:v>Дитина в соціумі</c:v>
                </c:pt>
                <c:pt idx="5">
                  <c:v>Мовлення дитини</c:v>
                </c:pt>
                <c:pt idx="6">
                  <c:v>Дитина у світі мистецтва</c:v>
                </c:pt>
              </c:strCache>
            </c:strRef>
          </c:cat>
          <c:val>
            <c:numRef>
              <c:f>Лист1!$B$2:$B$8</c:f>
              <c:numCache>
                <c:formatCode>General</c:formatCode>
                <c:ptCount val="7"/>
                <c:pt idx="0">
                  <c:v>2</c:v>
                </c:pt>
                <c:pt idx="1">
                  <c:v>7</c:v>
                </c:pt>
                <c:pt idx="2">
                  <c:v>5</c:v>
                </c:pt>
                <c:pt idx="3">
                  <c:v>5</c:v>
                </c:pt>
                <c:pt idx="4">
                  <c:v>4</c:v>
                </c:pt>
                <c:pt idx="5">
                  <c:v>6</c:v>
                </c:pt>
                <c:pt idx="6">
                  <c:v>6</c:v>
                </c:pt>
              </c:numCache>
            </c:numRef>
          </c:val>
          <c:extLst xmlns:c16r2="http://schemas.microsoft.com/office/drawing/2015/06/chart">
            <c:ext xmlns:c16="http://schemas.microsoft.com/office/drawing/2014/chart" uri="{C3380CC4-5D6E-409C-BE32-E72D297353CC}">
              <c16:uniqueId val="{00000000-3D40-4521-984E-BBDB83B662A6}"/>
            </c:ext>
          </c:extLst>
        </c:ser>
        <c:ser>
          <c:idx val="1"/>
          <c:order val="1"/>
          <c:tx>
            <c:strRef>
              <c:f>Лист1!$C$1</c:f>
              <c:strCache>
                <c:ptCount val="1"/>
                <c:pt idx="0">
                  <c:v>С - середній</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Лист1!$A$2:$A$8</c:f>
              <c:strCache>
                <c:ptCount val="7"/>
                <c:pt idx="0">
                  <c:v>Особистість дитини</c:v>
                </c:pt>
                <c:pt idx="1">
                  <c:v>Дитина в сенсорно-пізнавальному просторі</c:v>
                </c:pt>
                <c:pt idx="2">
                  <c:v>Дитина в природному довкіллі</c:v>
                </c:pt>
                <c:pt idx="3">
                  <c:v>Гра дитини</c:v>
                </c:pt>
                <c:pt idx="4">
                  <c:v>Дитина в соціумі</c:v>
                </c:pt>
                <c:pt idx="5">
                  <c:v>Мовлення дитини</c:v>
                </c:pt>
                <c:pt idx="6">
                  <c:v>Дитина у світі мистецтва</c:v>
                </c:pt>
              </c:strCache>
            </c:strRef>
          </c:cat>
          <c:val>
            <c:numRef>
              <c:f>Лист1!$C$2:$C$8</c:f>
              <c:numCache>
                <c:formatCode>General</c:formatCode>
                <c:ptCount val="7"/>
                <c:pt idx="0">
                  <c:v>28</c:v>
                </c:pt>
                <c:pt idx="1">
                  <c:v>26</c:v>
                </c:pt>
                <c:pt idx="2">
                  <c:v>21</c:v>
                </c:pt>
                <c:pt idx="3">
                  <c:v>28</c:v>
                </c:pt>
                <c:pt idx="4">
                  <c:v>29</c:v>
                </c:pt>
                <c:pt idx="5">
                  <c:v>27</c:v>
                </c:pt>
                <c:pt idx="6">
                  <c:v>23</c:v>
                </c:pt>
              </c:numCache>
            </c:numRef>
          </c:val>
          <c:extLst xmlns:c16r2="http://schemas.microsoft.com/office/drawing/2015/06/chart">
            <c:ext xmlns:c16="http://schemas.microsoft.com/office/drawing/2014/chart" uri="{C3380CC4-5D6E-409C-BE32-E72D297353CC}">
              <c16:uniqueId val="{00000001-3D40-4521-984E-BBDB83B662A6}"/>
            </c:ext>
          </c:extLst>
        </c:ser>
        <c:ser>
          <c:idx val="2"/>
          <c:order val="2"/>
          <c:tx>
            <c:strRef>
              <c:f>Лист1!$D$1</c:f>
              <c:strCache>
                <c:ptCount val="1"/>
                <c:pt idx="0">
                  <c:v>Д - достатній</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Лист1!$A$2:$A$8</c:f>
              <c:strCache>
                <c:ptCount val="7"/>
                <c:pt idx="0">
                  <c:v>Особистість дитини</c:v>
                </c:pt>
                <c:pt idx="1">
                  <c:v>Дитина в сенсорно-пізнавальному просторі</c:v>
                </c:pt>
                <c:pt idx="2">
                  <c:v>Дитина в природному довкіллі</c:v>
                </c:pt>
                <c:pt idx="3">
                  <c:v>Гра дитини</c:v>
                </c:pt>
                <c:pt idx="4">
                  <c:v>Дитина в соціумі</c:v>
                </c:pt>
                <c:pt idx="5">
                  <c:v>Мовлення дитини</c:v>
                </c:pt>
                <c:pt idx="6">
                  <c:v>Дитина у світі мистецтва</c:v>
                </c:pt>
              </c:strCache>
            </c:strRef>
          </c:cat>
          <c:val>
            <c:numRef>
              <c:f>Лист1!$D$2:$D$8</c:f>
              <c:numCache>
                <c:formatCode>General</c:formatCode>
                <c:ptCount val="7"/>
                <c:pt idx="0">
                  <c:v>19</c:v>
                </c:pt>
                <c:pt idx="1">
                  <c:v>13</c:v>
                </c:pt>
                <c:pt idx="2">
                  <c:v>22</c:v>
                </c:pt>
                <c:pt idx="3">
                  <c:v>16</c:v>
                </c:pt>
                <c:pt idx="4">
                  <c:v>12</c:v>
                </c:pt>
                <c:pt idx="5">
                  <c:v>16</c:v>
                </c:pt>
                <c:pt idx="6">
                  <c:v>20</c:v>
                </c:pt>
              </c:numCache>
            </c:numRef>
          </c:val>
          <c:extLst xmlns:c16r2="http://schemas.microsoft.com/office/drawing/2015/06/chart">
            <c:ext xmlns:c16="http://schemas.microsoft.com/office/drawing/2014/chart" uri="{C3380CC4-5D6E-409C-BE32-E72D297353CC}">
              <c16:uniqueId val="{00000002-3D40-4521-984E-BBDB83B662A6}"/>
            </c:ext>
          </c:extLst>
        </c:ser>
        <c:ser>
          <c:idx val="3"/>
          <c:order val="3"/>
          <c:tx>
            <c:strRef>
              <c:f>Лист1!$E$1</c:f>
              <c:strCache>
                <c:ptCount val="1"/>
                <c:pt idx="0">
                  <c:v>В - високий</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Лист1!$A$2:$A$8</c:f>
              <c:strCache>
                <c:ptCount val="7"/>
                <c:pt idx="0">
                  <c:v>Особистість дитини</c:v>
                </c:pt>
                <c:pt idx="1">
                  <c:v>Дитина в сенсорно-пізнавальному просторі</c:v>
                </c:pt>
                <c:pt idx="2">
                  <c:v>Дитина в природному довкіллі</c:v>
                </c:pt>
                <c:pt idx="3">
                  <c:v>Гра дитини</c:v>
                </c:pt>
                <c:pt idx="4">
                  <c:v>Дитина в соціумі</c:v>
                </c:pt>
                <c:pt idx="5">
                  <c:v>Мовлення дитини</c:v>
                </c:pt>
                <c:pt idx="6">
                  <c:v>Дитина у світі мистецтва</c:v>
                </c:pt>
              </c:strCache>
            </c:strRef>
          </c:cat>
          <c:val>
            <c:numRef>
              <c:f>Лист1!$E$2:$E$8</c:f>
              <c:numCache>
                <c:formatCode>General</c:formatCode>
                <c:ptCount val="7"/>
                <c:pt idx="0">
                  <c:v>1</c:v>
                </c:pt>
                <c:pt idx="1">
                  <c:v>4</c:v>
                </c:pt>
                <c:pt idx="2">
                  <c:v>2</c:v>
                </c:pt>
                <c:pt idx="3">
                  <c:v>1</c:v>
                </c:pt>
                <c:pt idx="4">
                  <c:v>5</c:v>
                </c:pt>
                <c:pt idx="5">
                  <c:v>1</c:v>
                </c:pt>
                <c:pt idx="6">
                  <c:v>1</c:v>
                </c:pt>
              </c:numCache>
            </c:numRef>
          </c:val>
          <c:extLst xmlns:c16r2="http://schemas.microsoft.com/office/drawing/2015/06/chart">
            <c:ext xmlns:c16="http://schemas.microsoft.com/office/drawing/2014/chart" uri="{C3380CC4-5D6E-409C-BE32-E72D297353CC}">
              <c16:uniqueId val="{00000003-3D40-4521-984E-BBDB83B662A6}"/>
            </c:ext>
          </c:extLst>
        </c:ser>
        <c:overlap val="100"/>
        <c:axId val="68825088"/>
        <c:axId val="68826624"/>
      </c:barChart>
      <c:catAx>
        <c:axId val="68825088"/>
        <c:scaling>
          <c:orientation val="minMax"/>
        </c:scaling>
        <c:axPos val="b"/>
        <c:numFmt formatCode="General" sourceLinked="0"/>
        <c:tickLblPos val="nextTo"/>
        <c:crossAx val="68826624"/>
        <c:crosses val="autoZero"/>
        <c:auto val="1"/>
        <c:lblAlgn val="ctr"/>
        <c:lblOffset val="100"/>
      </c:catAx>
      <c:valAx>
        <c:axId val="68826624"/>
        <c:scaling>
          <c:orientation val="minMax"/>
        </c:scaling>
        <c:delete val="1"/>
        <c:axPos val="l"/>
        <c:majorGridlines/>
        <c:numFmt formatCode="0%" sourceLinked="1"/>
        <c:tickLblPos val="nextTo"/>
        <c:crossAx val="68825088"/>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2025-01-30T07:21:00Z</dcterms:created>
  <dcterms:modified xsi:type="dcterms:W3CDTF">2025-01-30T08:04:00Z</dcterms:modified>
</cp:coreProperties>
</file>